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高新区</w:t>
      </w:r>
      <w:r>
        <w:rPr>
          <w:rFonts w:hint="eastAsia" w:ascii="方正小标宋简体" w:hAnsi="方正小标宋简体" w:eastAsia="方正小标宋简体" w:cs="方正小标宋简体"/>
          <w:sz w:val="44"/>
          <w:szCs w:val="44"/>
          <w:u w:val="single"/>
          <w:lang w:val="en-US" w:eastAsia="zh-CN"/>
        </w:rPr>
        <w:t>安全生产</w:t>
      </w:r>
      <w:r>
        <w:rPr>
          <w:rFonts w:hint="eastAsia" w:ascii="方正小标宋简体" w:hAnsi="方正小标宋简体" w:eastAsia="方正小标宋简体" w:cs="方正小标宋简体"/>
          <w:sz w:val="44"/>
          <w:szCs w:val="44"/>
          <w:lang w:val="en-US" w:eastAsia="zh-CN"/>
        </w:rPr>
        <w:t>领域基层政务公开目录</w:t>
      </w:r>
    </w:p>
    <w:tbl>
      <w:tblPr>
        <w:tblStyle w:val="3"/>
        <w:tblW w:w="22626"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485"/>
        <w:gridCol w:w="1455"/>
        <w:gridCol w:w="1980"/>
        <w:gridCol w:w="2715"/>
        <w:gridCol w:w="1590"/>
        <w:gridCol w:w="1650"/>
        <w:gridCol w:w="4425"/>
        <w:gridCol w:w="1109"/>
        <w:gridCol w:w="1320"/>
        <w:gridCol w:w="1110"/>
        <w:gridCol w:w="1066"/>
        <w:gridCol w:w="97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885" w:type="dxa"/>
            <w:vMerge w:val="restart"/>
            <w:vAlign w:val="center"/>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序号</w:t>
            </w:r>
          </w:p>
          <w:p>
            <w:pPr>
              <w:jc w:val="center"/>
              <w:rPr>
                <w:rFonts w:hint="eastAsia" w:ascii="仿宋" w:hAnsi="仿宋" w:eastAsia="仿宋" w:cs="仿宋"/>
                <w:sz w:val="30"/>
                <w:szCs w:val="30"/>
                <w:vertAlign w:val="baseline"/>
                <w:lang w:val="en-US" w:eastAsia="zh-CN"/>
              </w:rPr>
            </w:pPr>
          </w:p>
        </w:tc>
        <w:tc>
          <w:tcPr>
            <w:tcW w:w="294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公开事项</w:t>
            </w:r>
          </w:p>
        </w:tc>
        <w:tc>
          <w:tcPr>
            <w:tcW w:w="198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公开内容</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（要素）</w:t>
            </w:r>
          </w:p>
        </w:tc>
        <w:tc>
          <w:tcPr>
            <w:tcW w:w="271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公开依据</w:t>
            </w:r>
          </w:p>
        </w:tc>
        <w:tc>
          <w:tcPr>
            <w:tcW w:w="159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公开时限</w:t>
            </w:r>
          </w:p>
        </w:tc>
        <w:tc>
          <w:tcPr>
            <w:tcW w:w="1650"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公开主体</w:t>
            </w:r>
          </w:p>
        </w:tc>
        <w:tc>
          <w:tcPr>
            <w:tcW w:w="442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公开渠道和载体</w:t>
            </w:r>
          </w:p>
        </w:tc>
        <w:tc>
          <w:tcPr>
            <w:tcW w:w="2429"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公开对象</w:t>
            </w:r>
          </w:p>
        </w:tc>
        <w:tc>
          <w:tcPr>
            <w:tcW w:w="217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公开方式</w:t>
            </w:r>
          </w:p>
        </w:tc>
        <w:tc>
          <w:tcPr>
            <w:tcW w:w="1836"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885" w:type="dxa"/>
            <w:vMerge w:val="continue"/>
            <w:vAlign w:val="center"/>
          </w:tcPr>
          <w:p>
            <w:pPr>
              <w:jc w:val="center"/>
              <w:rPr>
                <w:rFonts w:hint="eastAsia" w:ascii="仿宋" w:hAnsi="仿宋" w:eastAsia="仿宋" w:cs="仿宋"/>
                <w:sz w:val="30"/>
                <w:szCs w:val="30"/>
                <w:vertAlign w:val="baseline"/>
                <w:lang w:val="en-US" w:eastAsia="zh-CN"/>
              </w:rPr>
            </w:pPr>
          </w:p>
        </w:tc>
        <w:tc>
          <w:tcPr>
            <w:tcW w:w="148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一级事项</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二级事项</w:t>
            </w:r>
          </w:p>
        </w:tc>
        <w:tc>
          <w:tcPr>
            <w:tcW w:w="198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271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59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650"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442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p>
        </w:tc>
        <w:tc>
          <w:tcPr>
            <w:tcW w:w="1109"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全社会</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特定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群体</w:t>
            </w:r>
          </w:p>
        </w:tc>
        <w:tc>
          <w:tcPr>
            <w:tcW w:w="111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主动</w:t>
            </w:r>
          </w:p>
        </w:tc>
        <w:tc>
          <w:tcPr>
            <w:tcW w:w="1066"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依申请</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区级</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政策文件</w:t>
            </w: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法律法规</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与安全生产有关的法律、法规</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bottom"/>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部门和地方规章</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与安全生产有关的部门和地方规章</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15"/>
              </w:rPr>
              <w:t xml:space="preserve">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其他政策文件</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其他可以公开的与安全生产有关的政策文件，包括改革方案、发展规划、专项规划、工作计划等</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both"/>
              <w:rPr>
                <w:rFonts w:hint="eastAsia" w:ascii="仿宋" w:hAnsi="仿宋" w:eastAsia="仿宋" w:cs="仿宋"/>
                <w:sz w:val="30"/>
                <w:szCs w:val="30"/>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标准</w:t>
            </w:r>
          </w:p>
        </w:tc>
        <w:tc>
          <w:tcPr>
            <w:tcW w:w="198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安全生产领域有关的国家标准、行业标准、地方标准等</w:t>
            </w:r>
          </w:p>
        </w:tc>
        <w:tc>
          <w:tcPr>
            <w:tcW w:w="2715"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政策文件</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重大决策草案</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涉及管理相对人切身利益、需社会广泛知晓的重要改革方案等重大决策，决策前向社会公开决策草案、决策依据</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left"/>
              <w:textAlignment w:val="center"/>
              <w:rPr>
                <w:rFonts w:hint="eastAsia" w:ascii="仿宋_GB2312" w:hAnsi="宋体" w:eastAsia="仿宋_GB2312" w:cs="仿宋_GB2312"/>
                <w:b/>
                <w:i w:val="0"/>
                <w:color w:val="000000"/>
                <w:kern w:val="2"/>
                <w:sz w:val="18"/>
                <w:szCs w:val="18"/>
                <w:u w:val="none"/>
                <w:lang w:val="en-US" w:eastAsia="zh-CN" w:bidi="ar-SA"/>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kern w:val="2"/>
                <w:sz w:val="24"/>
                <w:szCs w:val="24"/>
                <w:vertAlign w:val="baseline"/>
                <w:lang w:val="en-US" w:eastAsia="zh-CN" w:bidi="ar-SA"/>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kern w:val="2"/>
                <w:sz w:val="24"/>
                <w:szCs w:val="24"/>
                <w:vertAlign w:val="baseline"/>
                <w:lang w:val="en-US" w:eastAsia="zh-CN" w:bidi="ar-SA"/>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1485" w:type="dxa"/>
            <w:vMerge w:val="continue"/>
            <w:vAlign w:val="center"/>
          </w:tcPr>
          <w:p>
            <w:pPr>
              <w:keepNext w:val="0"/>
              <w:keepLines w:val="0"/>
              <w:widowControl/>
              <w:suppressLineNumbers w:val="0"/>
              <w:jc w:val="left"/>
              <w:textAlignment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重大政策解读及回应</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有关重大政策的解读与回应，安全生产相关热点问题的解读与回应</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《中华人民共和国政府信息公开条例》(国务院令第711号）、中办国办《关于全面推进政务公开工作的意见》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重大决策作出后及时公开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1485" w:type="dxa"/>
            <w:vMerge w:val="continue"/>
            <w:vAlign w:val="center"/>
          </w:tcPr>
          <w:p>
            <w:pP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重要会议</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通过会议讨论作出重要改革方案等重大决策时，经党支部研究认为有必要公开讨论决策过程的会议</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提前一周发通知邀请</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1485" w:type="dxa"/>
            <w:vMerge w:val="continue"/>
            <w:vAlign w:val="center"/>
          </w:tcPr>
          <w:p>
            <w:pP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征集采纳社会公众意见情况</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重大决策草案公布后征集到的社会公众意见情况、采纳与否情况及理由等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《中华人民共和国政府信息公开条例》(国务院令第711号），中央办公厅、国务院办公厅《关于全面推进政务公开工作的意见》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征求意见时对外公布的时限内公开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依法行政</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行政许可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办理行政许可和其他对外管理服务事项的依据、条件、程序</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行政处罚</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办理行政处罚的依据、条件、程序以及本级行政机关认为具有一定社会影响的行政处罚决定</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行政强制</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办理行政强制的依据、条件、程序</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《中华人民共和国政府信息公开条例》(国务院令第711号）《中华人民共和国突发事件应对法》、《突发事件应急预案管理办法》、《中共中央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1485"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行政管理</w:t>
            </w:r>
          </w:p>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隐患管理</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重大隐患排查、挂牌督办及其整改情况，安全生产举报电话等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《安全生产法》、《中华人民共和国政府信息公开条例》(国务院令第711号）、《中共中央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jc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1485" w:type="dxa"/>
            <w:vMerge w:val="continue"/>
            <w:vAlign w:val="center"/>
          </w:tcPr>
          <w:p>
            <w:pPr>
              <w:jc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 xml:space="preserve">承担处置主责、非敏感的应急信息，包括事故灾害类预警信息、事故信息、事故后采取的应急处置措施和应对结果等  </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《中华人民共和国政府信息公开条例》(国务院令第711号），《中华人民共和国突发事件应对法》，中央办公厅、国务院办公厅《关于全面加强政务公开工作的意见》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jc w:val="center"/>
              <w:rPr>
                <w:rFonts w:hint="eastAsia" w:ascii="仿宋" w:hAnsi="仿宋" w:eastAsia="仿宋" w:cs="仿宋"/>
                <w:b w:val="0"/>
                <w:bCs/>
                <w:sz w:val="24"/>
                <w:szCs w:val="24"/>
                <w:vertAlign w:val="baseline"/>
                <w:lang w:val="en-US" w:eastAsia="zh-CN"/>
              </w:rPr>
            </w:pPr>
          </w:p>
        </w:tc>
        <w:tc>
          <w:tcPr>
            <w:tcW w:w="1066"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885" w:type="dxa"/>
            <w:vAlign w:val="center"/>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1485" w:type="dxa"/>
            <w:vMerge w:val="continue"/>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黑名单管理</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列入或撤销纳入安全生产黑名单管理的企业信息，具体企业名称、证照编号、经营地址、负责人姓名等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《中华人民共和国政府信息公开条例》（国务院令第711号）、《社会信用体系建设规划纲要（2014-2020年）》</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信息形成或变更之日起20个工作日内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left"/>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bl>
    <w:p/>
    <w:tbl>
      <w:tblPr>
        <w:tblStyle w:val="3"/>
        <w:tblW w:w="22626"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
        <w:gridCol w:w="1485"/>
        <w:gridCol w:w="1455"/>
        <w:gridCol w:w="1980"/>
        <w:gridCol w:w="2715"/>
        <w:gridCol w:w="1590"/>
        <w:gridCol w:w="1650"/>
        <w:gridCol w:w="4425"/>
        <w:gridCol w:w="1109"/>
        <w:gridCol w:w="1320"/>
        <w:gridCol w:w="1110"/>
        <w:gridCol w:w="1066"/>
        <w:gridCol w:w="975"/>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15</w:t>
            </w:r>
          </w:p>
        </w:tc>
        <w:tc>
          <w:tcPr>
            <w:tcW w:w="1485" w:type="dxa"/>
            <w:vMerge w:val="restart"/>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行政管理</w:t>
            </w:r>
          </w:p>
          <w:p>
            <w:pPr>
              <w:keepNext w:val="0"/>
              <w:keepLines w:val="0"/>
              <w:widowControl/>
              <w:suppressLineNumbers w:val="0"/>
              <w:jc w:val="both"/>
              <w:textAlignment w:val="center"/>
              <w:rPr>
                <w:rFonts w:hint="eastAsia" w:ascii="仿宋" w:hAnsi="仿宋" w:eastAsia="仿宋" w:cs="仿宋"/>
                <w:b w:val="0"/>
                <w:bCs w:val="0"/>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事故通报</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●事故信息:本部门接报查实的各类生产安全事故情况（事故发生时间、地点、伤亡情况、简要经过）                         ●典型事故通报:各类典型安全生产事故情况通报，主要包括发生时间、地点、起因、经过、结果、相关领导批示情况、预防性措施建议等内容                       ●事故调查报告：依照事故调查处理权限，经批复的生产安全事故调查报告，依法应当保密的除外</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《安全生产法》、《中华人民共和国政府信息公开条例》(国务院令第711号）、《中共中央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按照中央有关要求公开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jc w:val="left"/>
              <w:rPr>
                <w:rFonts w:hint="eastAsia" w:ascii="黑体" w:hAnsi="宋体" w:eastAsia="黑体" w:cstheme="minorBidi"/>
                <w:kern w:val="2"/>
                <w:sz w:val="18"/>
                <w:szCs w:val="24"/>
                <w:lang w:val="en-US" w:eastAsia="zh-CN" w:bidi="ar-SA"/>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kern w:val="2"/>
                <w:sz w:val="24"/>
                <w:szCs w:val="24"/>
                <w:vertAlign w:val="baseline"/>
                <w:lang w:val="en-US" w:eastAsia="zh-CN" w:bidi="ar-SA"/>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kern w:val="2"/>
                <w:sz w:val="24"/>
                <w:szCs w:val="24"/>
                <w:vertAlign w:val="baseline"/>
                <w:lang w:val="en-US" w:eastAsia="zh-CN" w:bidi="ar-SA"/>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16</w:t>
            </w:r>
          </w:p>
        </w:tc>
        <w:tc>
          <w:tcPr>
            <w:tcW w:w="1485" w:type="dxa"/>
            <w:vMerge w:val="continue"/>
            <w:vAlign w:val="center"/>
          </w:tcPr>
          <w:p>
            <w:pPr>
              <w:keepNext w:val="0"/>
              <w:keepLines w:val="0"/>
              <w:widowControl/>
              <w:suppressLineNumbers w:val="0"/>
              <w:jc w:val="left"/>
              <w:textAlignment w:val="center"/>
              <w:rPr>
                <w:rFonts w:hint="eastAsia" w:ascii="仿宋" w:hAnsi="仿宋" w:eastAsia="仿宋" w:cs="仿宋"/>
                <w:b w:val="0"/>
                <w:bCs w:val="0"/>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动态信息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●业务工作动态           ●安全生产执法检查动态</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left"/>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17</w:t>
            </w:r>
          </w:p>
        </w:tc>
        <w:tc>
          <w:tcPr>
            <w:tcW w:w="1485" w:type="dxa"/>
            <w:vMerge w:val="continue"/>
            <w:vAlign w:val="center"/>
          </w:tcPr>
          <w:p>
            <w:pPr>
              <w:keepNext w:val="0"/>
              <w:keepLines w:val="0"/>
              <w:widowControl/>
              <w:suppressLineNumbers w:val="0"/>
              <w:jc w:val="center"/>
              <w:textAlignment w:val="center"/>
              <w:rPr>
                <w:rFonts w:hint="eastAsia" w:ascii="仿宋" w:hAnsi="仿宋" w:eastAsia="仿宋" w:cs="仿宋"/>
                <w:b w:val="0"/>
                <w:bCs w:val="0"/>
                <w:sz w:val="24"/>
                <w:szCs w:val="24"/>
                <w:vertAlign w:val="baseline"/>
                <w:lang w:val="en-US" w:eastAsia="zh-CN"/>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安全生产预警提示信息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 xml:space="preserve">●气象及灾害预警信息 </w:t>
            </w:r>
            <w:r>
              <w:rPr>
                <w:rStyle w:val="8"/>
                <w:rFonts w:hAnsi="宋体"/>
                <w:b w:val="0"/>
                <w:bCs/>
                <w:color w:val="auto"/>
                <w:sz w:val="24"/>
                <w:szCs w:val="24"/>
                <w:lang w:val="en-US" w:eastAsia="zh-CN" w:bidi="ar"/>
              </w:rPr>
              <w:t xml:space="preserve">           ●不同时段、不同领域安全生产提示信息</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信息形成后及时公开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黑体" w:hAnsi="宋体" w:eastAsia="黑体"/>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18</w:t>
            </w:r>
          </w:p>
        </w:tc>
        <w:tc>
          <w:tcPr>
            <w:tcW w:w="1485"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公共服务</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政务公开目录</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政务公开事项的索引、名称、内容概述、生成日期等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r>
              <w:rPr>
                <w:rFonts w:hint="eastAsia" w:ascii="仿宋_GB2312" w:hAnsi="宋体" w:eastAsia="仿宋_GB2312" w:cs="仿宋_GB2312"/>
                <w:b w:val="0"/>
                <w:bCs/>
                <w:i w:val="0"/>
                <w:color w:val="000000"/>
                <w:kern w:val="0"/>
                <w:sz w:val="24"/>
                <w:szCs w:val="24"/>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 w:hAnsi="仿宋" w:eastAsia="仿宋" w:cs="仿宋"/>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19</w:t>
            </w:r>
          </w:p>
        </w:tc>
        <w:tc>
          <w:tcPr>
            <w:tcW w:w="1485" w:type="dxa"/>
            <w:vMerge w:val="continue"/>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政务公开标准</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政府信息公开指南等流程性信息</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20</w:t>
            </w:r>
          </w:p>
        </w:tc>
        <w:tc>
          <w:tcPr>
            <w:tcW w:w="1485"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公共服务</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权力清单及责任清单</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同级政府审批通过的行政执法主体信息和行政许可、行政处罚、行政强制、行政检查、行政确认、行政奖励及其他行政职权等行政执法职权职责清单</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信息形成或者变更20个工作日内，如有更新，及时公开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21</w:t>
            </w:r>
          </w:p>
        </w:tc>
        <w:tc>
          <w:tcPr>
            <w:tcW w:w="1485" w:type="dxa"/>
            <w:vMerge w:val="continue"/>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主要业务办事指南</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主要业务工作的办事依据、程序、时限，办事时间、地点、部门、联系方式及相关办理结果</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信息形成或者变更之日起20个工作日内</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22</w:t>
            </w:r>
          </w:p>
        </w:tc>
        <w:tc>
          <w:tcPr>
            <w:tcW w:w="1485" w:type="dxa"/>
            <w:vMerge w:val="continue"/>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年度报告</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政府信息公开年度报告及相关统计报表</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每年1月31日前</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8"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23</w:t>
            </w:r>
          </w:p>
        </w:tc>
        <w:tc>
          <w:tcPr>
            <w:tcW w:w="148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重点领域信息公开</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财政资金信息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●预算、决算                       ●“三公”经费                     ●安全生产专项资金使用等财政资金信息</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按中央要求时限公开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24</w:t>
            </w:r>
          </w:p>
        </w:tc>
        <w:tc>
          <w:tcPr>
            <w:tcW w:w="1485" w:type="dxa"/>
            <w:vMerge w:val="restart"/>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24"/>
                <w:szCs w:val="24"/>
                <w:u w:val="none"/>
                <w:lang w:val="en-US" w:eastAsia="zh-CN" w:bidi="ar"/>
              </w:rPr>
              <w:t>重点领域信息公开</w:t>
            </w: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政府采购信息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本单位采购实施情况相关信息</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25</w:t>
            </w:r>
          </w:p>
        </w:tc>
        <w:tc>
          <w:tcPr>
            <w:tcW w:w="1485" w:type="dxa"/>
            <w:vMerge w:val="continue"/>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办事纪律和监督管理</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本单位的办事纪律,受理投诉、举报、信访的途径等内容</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26</w:t>
            </w:r>
          </w:p>
        </w:tc>
        <w:tc>
          <w:tcPr>
            <w:tcW w:w="1485" w:type="dxa"/>
            <w:vMerge w:val="continue"/>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重大工程项目信息</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项目名称、执行措施、责任分工、取得成效、后续举措等</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《中华人民共和国政府信息公开条例》(国务院令第711号）、《国务院办公厅关于推进重大建设项目批准和实施领域政府信息公开的意见》（国办发〔2017〕94号）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按照中央有关要求公开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27</w:t>
            </w:r>
          </w:p>
        </w:tc>
        <w:tc>
          <w:tcPr>
            <w:tcW w:w="1485" w:type="dxa"/>
            <w:vMerge w:val="continue"/>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检查和巡查发现安全监管监察问题</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检查和巡查发现的、并要求向社会公开的问题及整改落实情况</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《中华人民共和国政府信息公开条例》(国务院令第711号）、《中共中央 国务院关于推进安全生产领域改革发展的意见》</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按进展情况及时公开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88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28</w:t>
            </w:r>
          </w:p>
        </w:tc>
        <w:tc>
          <w:tcPr>
            <w:tcW w:w="1485" w:type="dxa"/>
            <w:vMerge w:val="continue"/>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c>
          <w:tcPr>
            <w:tcW w:w="145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建议提案办理</w:t>
            </w:r>
          </w:p>
        </w:tc>
        <w:tc>
          <w:tcPr>
            <w:tcW w:w="198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●办理制度与推进情况            ●人大代表建议办理              ●政协委员提案办理</w:t>
            </w:r>
          </w:p>
        </w:tc>
        <w:tc>
          <w:tcPr>
            <w:tcW w:w="2715"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《中华人民共和国政府信息公开条例》(国务院令第711号）、《国务院办公厅关于做好全国人大代表建议和全国政协委员提案办理结果公开工作的通知》（国办发〔2014〕46号）</w:t>
            </w:r>
          </w:p>
        </w:tc>
        <w:tc>
          <w:tcPr>
            <w:tcW w:w="159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按照中央有关要求公开</w:t>
            </w:r>
          </w:p>
        </w:tc>
        <w:tc>
          <w:tcPr>
            <w:tcW w:w="1650" w:type="dxa"/>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auto"/>
                <w:kern w:val="0"/>
                <w:sz w:val="24"/>
                <w:szCs w:val="24"/>
                <w:u w:val="none"/>
                <w:lang w:val="en-US" w:eastAsia="zh-CN" w:bidi="ar"/>
              </w:rPr>
            </w:pPr>
            <w:r>
              <w:rPr>
                <w:rFonts w:hint="eastAsia" w:ascii="仿宋_GB2312" w:hAnsi="宋体" w:eastAsia="仿宋_GB2312" w:cs="仿宋_GB2312"/>
                <w:b w:val="0"/>
                <w:bCs/>
                <w:i w:val="0"/>
                <w:color w:val="auto"/>
                <w:kern w:val="0"/>
                <w:sz w:val="24"/>
                <w:szCs w:val="24"/>
                <w:u w:val="none"/>
                <w:lang w:val="en-US" w:eastAsia="zh-CN" w:bidi="ar"/>
              </w:rPr>
              <w:t>应急管理局</w:t>
            </w:r>
          </w:p>
        </w:tc>
        <w:tc>
          <w:tcPr>
            <w:tcW w:w="4425" w:type="dxa"/>
            <w:vAlign w:val="center"/>
          </w:tcPr>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52"/>
            </w:r>
            <w:r>
              <w:rPr>
                <w:rFonts w:hint="eastAsia" w:ascii="仿宋" w:hAnsi="仿宋" w:eastAsia="仿宋" w:cs="仿宋"/>
                <w:sz w:val="24"/>
                <w:szCs w:val="24"/>
                <w:vertAlign w:val="baseline"/>
                <w:lang w:val="en-US" w:eastAsia="zh-CN"/>
              </w:rPr>
              <w:t xml:space="preserve">政府网站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政府公报</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两微一端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发布会/听证会</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广播电视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纸质媒体</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公开查阅点   </w:t>
            </w:r>
            <w:bookmarkStart w:id="0" w:name="_GoBack"/>
            <w:bookmarkEnd w:id="0"/>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政务服务中心</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便民服务站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入户/现场</w:t>
            </w:r>
          </w:p>
          <w:p>
            <w:pPr>
              <w:jc w:val="both"/>
              <w:rPr>
                <w:rFonts w:hint="eastAsia" w:ascii="仿宋" w:hAnsi="仿宋" w:eastAsia="仿宋" w:cs="仿宋"/>
                <w:sz w:val="24"/>
                <w:szCs w:val="24"/>
                <w:vertAlign w:val="baseline"/>
                <w:lang w:val="en-US" w:eastAsia="zh-CN"/>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社区/企事业单位/村公示栏（电子屏）</w:t>
            </w:r>
          </w:p>
          <w:p>
            <w:pPr>
              <w:keepNext w:val="0"/>
              <w:keepLines w:val="0"/>
              <w:widowControl/>
              <w:suppressLineNumbers w:val="0"/>
              <w:jc w:val="center"/>
              <w:textAlignment w:val="center"/>
              <w:rPr>
                <w:rFonts w:hint="eastAsia" w:ascii="仿宋" w:hAnsi="仿宋" w:eastAsia="仿宋" w:cs="仿宋"/>
                <w:sz w:val="18"/>
              </w:rPr>
            </w:pP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 xml:space="preserve">精准推送    </w:t>
            </w:r>
            <w:r>
              <w:rPr>
                <w:rFonts w:hint="eastAsia" w:ascii="仿宋" w:hAnsi="仿宋" w:eastAsia="仿宋" w:cs="仿宋"/>
                <w:sz w:val="18"/>
              </w:rPr>
              <w:sym w:font="Wingdings 2" w:char="00A3"/>
            </w:r>
            <w:r>
              <w:rPr>
                <w:rFonts w:hint="eastAsia" w:ascii="仿宋" w:hAnsi="仿宋" w:eastAsia="仿宋" w:cs="仿宋"/>
                <w:sz w:val="24"/>
                <w:szCs w:val="24"/>
                <w:vertAlign w:val="baseline"/>
                <w:lang w:val="en-US" w:eastAsia="zh-CN"/>
              </w:rPr>
              <w:t>其他</w:t>
            </w:r>
            <w:r>
              <w:rPr>
                <w:rFonts w:hint="eastAsia" w:ascii="仿宋" w:hAnsi="仿宋" w:eastAsia="仿宋" w:cs="仿宋"/>
                <w:sz w:val="24"/>
                <w:szCs w:val="24"/>
                <w:u w:val="single"/>
                <w:vertAlign w:val="baseline"/>
                <w:lang w:val="en-US" w:eastAsia="zh-CN"/>
              </w:rPr>
              <w:t>基层公共服务平台</w:t>
            </w:r>
          </w:p>
        </w:tc>
        <w:tc>
          <w:tcPr>
            <w:tcW w:w="1109"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320" w:type="dxa"/>
            <w:vAlign w:val="center"/>
          </w:tcPr>
          <w:p>
            <w:pPr>
              <w:jc w:val="center"/>
              <w:rPr>
                <w:rFonts w:hint="eastAsia" w:ascii="仿宋" w:hAnsi="仿宋" w:eastAsia="仿宋" w:cs="仿宋"/>
                <w:b w:val="0"/>
                <w:bCs/>
                <w:sz w:val="24"/>
                <w:szCs w:val="24"/>
                <w:vertAlign w:val="baseline"/>
                <w:lang w:val="en-US" w:eastAsia="zh-CN"/>
              </w:rPr>
            </w:pPr>
          </w:p>
        </w:tc>
        <w:tc>
          <w:tcPr>
            <w:tcW w:w="1110"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1066" w:type="dxa"/>
            <w:vAlign w:val="center"/>
          </w:tcPr>
          <w:p>
            <w:pPr>
              <w:jc w:val="center"/>
              <w:rPr>
                <w:rFonts w:hint="eastAsia" w:ascii="仿宋" w:hAnsi="仿宋" w:eastAsia="仿宋" w:cs="仿宋"/>
                <w:b w:val="0"/>
                <w:bCs/>
                <w:sz w:val="24"/>
                <w:szCs w:val="24"/>
                <w:vertAlign w:val="baseline"/>
                <w:lang w:val="en-US" w:eastAsia="zh-CN"/>
              </w:rPr>
            </w:pPr>
          </w:p>
        </w:tc>
        <w:tc>
          <w:tcPr>
            <w:tcW w:w="975" w:type="dxa"/>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kern w:val="0"/>
                <w:sz w:val="24"/>
                <w:szCs w:val="24"/>
                <w:u w:val="none"/>
                <w:lang w:val="en-US" w:eastAsia="zh-CN" w:bidi="ar"/>
              </w:rPr>
            </w:pPr>
            <w:r>
              <w:rPr>
                <w:rFonts w:hint="eastAsia" w:ascii="仿宋_GB2312" w:hAnsi="宋体" w:eastAsia="仿宋_GB2312" w:cs="仿宋_GB2312"/>
                <w:b w:val="0"/>
                <w:bCs/>
                <w:i w:val="0"/>
                <w:color w:val="000000"/>
                <w:kern w:val="0"/>
                <w:sz w:val="18"/>
                <w:szCs w:val="18"/>
                <w:u w:val="none"/>
                <w:lang w:val="en-US" w:eastAsia="zh-CN" w:bidi="ar"/>
              </w:rPr>
              <w:t>√</w:t>
            </w:r>
          </w:p>
        </w:tc>
        <w:tc>
          <w:tcPr>
            <w:tcW w:w="861" w:type="dxa"/>
            <w:vAlign w:val="center"/>
          </w:tcPr>
          <w:p>
            <w:pPr>
              <w:jc w:val="center"/>
              <w:rPr>
                <w:rFonts w:hint="eastAsia" w:ascii="仿宋_GB2312" w:hAnsi="宋体" w:eastAsia="仿宋_GB2312" w:cs="仿宋_GB2312"/>
                <w:b w:val="0"/>
                <w:bCs/>
                <w:i w:val="0"/>
                <w:color w:val="000000"/>
                <w:kern w:val="0"/>
                <w:sz w:val="24"/>
                <w:szCs w:val="24"/>
                <w:u w:val="none"/>
                <w:lang w:val="en-US" w:eastAsia="zh-CN" w:bidi="ar"/>
              </w:rPr>
            </w:pPr>
          </w:p>
        </w:tc>
      </w:tr>
    </w:tbl>
    <w:p>
      <w:pPr>
        <w:jc w:val="both"/>
        <w:rPr>
          <w:rFonts w:hint="default" w:ascii="方正小标宋简体" w:hAnsi="方正小标宋简体" w:eastAsia="方正小标宋简体" w:cs="方正小标宋简体"/>
          <w:sz w:val="44"/>
          <w:szCs w:val="44"/>
          <w:lang w:val="en-US" w:eastAsia="zh-CN"/>
        </w:rPr>
      </w:pPr>
    </w:p>
    <w:sectPr>
      <w:pgSz w:w="23757" w:h="16783" w:orient="landscape"/>
      <w:pgMar w:top="1293" w:right="1440" w:bottom="163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8EF"/>
    <w:rsid w:val="007108F2"/>
    <w:rsid w:val="16642837"/>
    <w:rsid w:val="180F4F9B"/>
    <w:rsid w:val="21141D29"/>
    <w:rsid w:val="481A1EF5"/>
    <w:rsid w:val="49832B81"/>
    <w:rsid w:val="70395516"/>
    <w:rsid w:val="76141D79"/>
    <w:rsid w:val="795C7585"/>
    <w:rsid w:val="7E766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61"/>
    <w:basedOn w:val="4"/>
    <w:qFormat/>
    <w:uiPriority w:val="0"/>
    <w:rPr>
      <w:rFonts w:hint="eastAsia" w:ascii="仿宋_GB2312" w:eastAsia="仿宋_GB2312" w:cs="仿宋_GB2312"/>
      <w:b/>
      <w:color w:val="000000"/>
      <w:sz w:val="18"/>
      <w:szCs w:val="18"/>
      <w:u w:val="none"/>
    </w:rPr>
  </w:style>
  <w:style w:type="character" w:customStyle="1" w:styleId="6">
    <w:name w:val="font31"/>
    <w:basedOn w:val="4"/>
    <w:qFormat/>
    <w:uiPriority w:val="0"/>
    <w:rPr>
      <w:rFonts w:hint="eastAsia" w:ascii="仿宋_GB2312" w:eastAsia="仿宋_GB2312" w:cs="仿宋_GB2312"/>
      <w:b/>
      <w:color w:val="000000"/>
      <w:sz w:val="18"/>
      <w:szCs w:val="18"/>
      <w:u w:val="none"/>
    </w:rPr>
  </w:style>
  <w:style w:type="character" w:customStyle="1" w:styleId="7">
    <w:name w:val="font51"/>
    <w:basedOn w:val="4"/>
    <w:qFormat/>
    <w:uiPriority w:val="0"/>
    <w:rPr>
      <w:rFonts w:hint="eastAsia" w:ascii="仿宋_GB2312" w:eastAsia="仿宋_GB2312" w:cs="仿宋_GB2312"/>
      <w:b/>
      <w:color w:val="000000"/>
      <w:sz w:val="18"/>
      <w:szCs w:val="18"/>
      <w:u w:val="none"/>
    </w:rPr>
  </w:style>
  <w:style w:type="character" w:customStyle="1" w:styleId="8">
    <w:name w:val="font11"/>
    <w:basedOn w:val="4"/>
    <w:qFormat/>
    <w:uiPriority w:val="0"/>
    <w:rPr>
      <w:rFonts w:hint="eastAsia" w:ascii="仿宋_GB2312" w:eastAsia="仿宋_GB2312" w:cs="仿宋_GB2312"/>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2020-05-25T08:58:00Z</dcterms:created>
  <dc:creator>Administrator</dc:creator>
  <cp:lastModifiedBy>纯、属虚构</cp:lastModifiedBy>
  <cp:lastPrinted>2020-06-01T00:23:00Z</cp:lastPrinted>
  <dcterms:modified xsi:type="dcterms:W3CDTF">2020-06-30T07:27:03Z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