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高新区</w:t>
      </w:r>
      <w:r>
        <w:rPr>
          <w:rFonts w:hint="eastAsia" w:ascii="方正小标宋简体" w:hAnsi="方正小标宋简体" w:eastAsia="方正小标宋简体" w:cs="方正小标宋简体"/>
          <w:sz w:val="44"/>
          <w:szCs w:val="44"/>
          <w:u w:val="single"/>
          <w:lang w:val="en-US" w:eastAsia="zh-CN"/>
        </w:rPr>
        <w:t>安全生产</w:t>
      </w:r>
      <w:r>
        <w:rPr>
          <w:rFonts w:hint="eastAsia" w:ascii="方正小标宋简体" w:hAnsi="方正小标宋简体" w:eastAsia="方正小标宋简体" w:cs="方正小标宋简体"/>
          <w:sz w:val="44"/>
          <w:szCs w:val="44"/>
          <w:lang w:val="en-US" w:eastAsia="zh-CN"/>
        </w:rPr>
        <w:t>领域基层政务公开目录</w:t>
      </w:r>
    </w:p>
    <w:tbl>
      <w:tblPr>
        <w:tblStyle w:val="3"/>
        <w:tblW w:w="22626"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485"/>
        <w:gridCol w:w="1455"/>
        <w:gridCol w:w="1980"/>
        <w:gridCol w:w="2715"/>
        <w:gridCol w:w="1590"/>
        <w:gridCol w:w="1650"/>
        <w:gridCol w:w="4425"/>
        <w:gridCol w:w="1109"/>
        <w:gridCol w:w="1320"/>
        <w:gridCol w:w="1110"/>
        <w:gridCol w:w="1066"/>
        <w:gridCol w:w="97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885" w:type="dxa"/>
            <w:vMerge w:val="restart"/>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序号</w:t>
            </w:r>
          </w:p>
          <w:p>
            <w:pPr>
              <w:jc w:val="center"/>
              <w:rPr>
                <w:rFonts w:hint="eastAsia" w:ascii="仿宋" w:hAnsi="仿宋" w:eastAsia="仿宋" w:cs="仿宋"/>
                <w:sz w:val="30"/>
                <w:szCs w:val="30"/>
                <w:vertAlign w:val="baseline"/>
                <w:lang w:val="en-US" w:eastAsia="zh-CN"/>
              </w:rPr>
            </w:pPr>
          </w:p>
        </w:tc>
        <w:tc>
          <w:tcPr>
            <w:tcW w:w="294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公开事项</w:t>
            </w:r>
          </w:p>
        </w:tc>
        <w:tc>
          <w:tcPr>
            <w:tcW w:w="19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公开内容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（要素）</w:t>
            </w:r>
          </w:p>
        </w:tc>
        <w:tc>
          <w:tcPr>
            <w:tcW w:w="271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公开依据</w:t>
            </w:r>
          </w:p>
        </w:tc>
        <w:tc>
          <w:tcPr>
            <w:tcW w:w="159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公开时限</w:t>
            </w:r>
          </w:p>
        </w:tc>
        <w:tc>
          <w:tcPr>
            <w:tcW w:w="165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公开主体</w:t>
            </w:r>
          </w:p>
        </w:tc>
        <w:tc>
          <w:tcPr>
            <w:tcW w:w="442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公开渠道和载体</w:t>
            </w:r>
          </w:p>
        </w:tc>
        <w:tc>
          <w:tcPr>
            <w:tcW w:w="242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公开对象</w:t>
            </w:r>
          </w:p>
        </w:tc>
        <w:tc>
          <w:tcPr>
            <w:tcW w:w="217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公开方式</w:t>
            </w:r>
          </w:p>
        </w:tc>
        <w:tc>
          <w:tcPr>
            <w:tcW w:w="183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85" w:type="dxa"/>
            <w:vMerge w:val="continue"/>
            <w:vAlign w:val="center"/>
          </w:tcPr>
          <w:p>
            <w:pPr>
              <w:jc w:val="center"/>
              <w:rPr>
                <w:rFonts w:hint="eastAsia" w:ascii="仿宋" w:hAnsi="仿宋" w:eastAsia="仿宋" w:cs="仿宋"/>
                <w:sz w:val="30"/>
                <w:szCs w:val="30"/>
                <w:vertAlign w:val="baseline"/>
                <w:lang w:val="en-US" w:eastAsia="zh-CN"/>
              </w:rPr>
            </w:pP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一级事项</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二级事项</w:t>
            </w:r>
          </w:p>
        </w:tc>
        <w:tc>
          <w:tcPr>
            <w:tcW w:w="19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271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59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65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442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全社会</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特定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群体</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主动</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依申请</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区级</w:t>
            </w: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8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485" w:type="dxa"/>
            <w:vMerge w:val="restart"/>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政策文件</w:t>
            </w:r>
          </w:p>
        </w:tc>
        <w:tc>
          <w:tcPr>
            <w:tcW w:w="1455"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法律法规</w:t>
            </w:r>
          </w:p>
        </w:tc>
        <w:tc>
          <w:tcPr>
            <w:tcW w:w="198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与安全生产有关的法律、法规</w:t>
            </w:r>
          </w:p>
        </w:tc>
        <w:tc>
          <w:tcPr>
            <w:tcW w:w="2715"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w:t>
            </w:r>
          </w:p>
        </w:tc>
        <w:tc>
          <w:tcPr>
            <w:tcW w:w="159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bottom"/>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5"/>
              </w:rPr>
              <w:t xml:space="preserve"> </w:t>
            </w: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8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485" w:type="dxa"/>
            <w:vMerge w:val="continue"/>
            <w:vAlign w:val="center"/>
          </w:tcPr>
          <w:p>
            <w:pPr>
              <w:jc w:val="cente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部门和地方规章</w:t>
            </w:r>
          </w:p>
        </w:tc>
        <w:tc>
          <w:tcPr>
            <w:tcW w:w="198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与安全生产有关的部门和地方规章</w:t>
            </w:r>
          </w:p>
        </w:tc>
        <w:tc>
          <w:tcPr>
            <w:tcW w:w="2715"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w:t>
            </w:r>
          </w:p>
        </w:tc>
        <w:tc>
          <w:tcPr>
            <w:tcW w:w="159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30"/>
                <w:szCs w:val="30"/>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485" w:type="dxa"/>
            <w:vMerge w:val="continue"/>
            <w:vAlign w:val="center"/>
          </w:tcPr>
          <w:p>
            <w:pPr>
              <w:jc w:val="cente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其他政策文件</w:t>
            </w:r>
          </w:p>
        </w:tc>
        <w:tc>
          <w:tcPr>
            <w:tcW w:w="198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其他可以公开的与安全生产有关的政策文件，包括改革方案、发展规划、专项规划、工作计划等</w:t>
            </w:r>
          </w:p>
        </w:tc>
        <w:tc>
          <w:tcPr>
            <w:tcW w:w="2715"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w:t>
            </w:r>
          </w:p>
        </w:tc>
        <w:tc>
          <w:tcPr>
            <w:tcW w:w="159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30"/>
                <w:szCs w:val="30"/>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85" w:type="dxa"/>
            <w:vMerge w:val="continue"/>
            <w:vAlign w:val="center"/>
          </w:tcPr>
          <w:p>
            <w:pPr>
              <w:jc w:val="cente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标准</w:t>
            </w:r>
          </w:p>
        </w:tc>
        <w:tc>
          <w:tcPr>
            <w:tcW w:w="198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安全生产领域有关的国家标准、行业标准、地方标准等</w:t>
            </w:r>
          </w:p>
        </w:tc>
        <w:tc>
          <w:tcPr>
            <w:tcW w:w="2715"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w:t>
            </w:r>
          </w:p>
        </w:tc>
        <w:tc>
          <w:tcPr>
            <w:tcW w:w="159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485" w:type="dxa"/>
            <w:vMerge w:val="restart"/>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政策文件</w:t>
            </w: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重大决策草案</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涉及管理相对人切身利益、需社会广泛知晓的重要改革方案等重大决策，决策前向社会公开决策草案、决策依据</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按进展情况及时公开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left"/>
              <w:textAlignment w:val="center"/>
              <w:rPr>
                <w:rFonts w:hint="eastAsia" w:ascii="仿宋_GB2312" w:hAnsi="宋体" w:eastAsia="仿宋_GB2312" w:cs="仿宋_GB2312"/>
                <w:b/>
                <w:i w:val="0"/>
                <w:color w:val="000000"/>
                <w:kern w:val="2"/>
                <w:sz w:val="18"/>
                <w:szCs w:val="18"/>
                <w:u w:val="none"/>
                <w:lang w:val="en-US" w:eastAsia="zh-CN" w:bidi="ar-SA"/>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kern w:val="2"/>
                <w:sz w:val="24"/>
                <w:szCs w:val="24"/>
                <w:vertAlign w:val="baseline"/>
                <w:lang w:val="en-US" w:eastAsia="zh-CN" w:bidi="ar-SA"/>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kern w:val="2"/>
                <w:sz w:val="24"/>
                <w:szCs w:val="24"/>
                <w:vertAlign w:val="baseline"/>
                <w:lang w:val="en-US" w:eastAsia="zh-CN" w:bidi="ar-SA"/>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kern w:val="2"/>
                <w:sz w:val="24"/>
                <w:szCs w:val="24"/>
                <w:vertAlign w:val="baseline"/>
                <w:lang w:val="en-US" w:eastAsia="zh-CN" w:bidi="ar-SA"/>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kern w:val="2"/>
                <w:sz w:val="24"/>
                <w:szCs w:val="24"/>
                <w:vertAlign w:val="baseline"/>
                <w:lang w:val="en-US" w:eastAsia="zh-CN" w:bidi="ar-SA"/>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kern w:val="2"/>
                <w:sz w:val="24"/>
                <w:szCs w:val="24"/>
                <w:vertAlign w:val="baseline"/>
                <w:lang w:val="en-US" w:eastAsia="zh-CN" w:bidi="ar-SA"/>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485" w:type="dxa"/>
            <w:vMerge w:val="continue"/>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重大政策解读及回应</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有关重大政策的解读与回应，安全生产相关热点问题的解读与回应</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《中华人民共和国政府信息公开条例》(国务院令第711号）、中办国办《关于全面推进政务公开工作的意见》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重大决策作出后及时公开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485" w:type="dxa"/>
            <w:vMerge w:val="continue"/>
            <w:vAlign w:val="center"/>
          </w:tcPr>
          <w:p>
            <w:pP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重要会议</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通过会议讨论作出重要改革方案等重大决策时，经党支部研究认为有必要公开讨论决策过程的会议</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提前一周发通知邀请</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485" w:type="dxa"/>
            <w:vMerge w:val="continue"/>
            <w:vAlign w:val="center"/>
          </w:tcPr>
          <w:p>
            <w:pP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征集采纳社会公众意见情况</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重大决策草案公布后征集到的社会公众意见情况、采纳与否情况及理由等</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征求意见时对外公布的时限内公开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485" w:type="dxa"/>
            <w:vMerge w:val="restart"/>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依法行政</w:t>
            </w: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行政许可</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办理行政许可和其他对外管理服务事项的依据、条件、程序</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485" w:type="dxa"/>
            <w:vMerge w:val="continue"/>
            <w:vAlign w:val="center"/>
          </w:tcPr>
          <w:p>
            <w:pPr>
              <w:jc w:val="cente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行政处罚</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办理行政处罚的依据、条件、程序以及本级行政机关认为具有一定社会影响的行政处罚决定</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485" w:type="dxa"/>
            <w:vMerge w:val="continue"/>
            <w:vAlign w:val="center"/>
          </w:tcPr>
          <w:p>
            <w:pPr>
              <w:jc w:val="cente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行政强制</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办理行政强制的依据、条件、程序</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《中华人民共和国政府信息公开条例》(国务院令第711号）《中华人民共和国突发事件应对法》、《突发事件应急预案管理办法》、《中共中央 国务院关于推进安全生产领域改革发展的意见》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1485" w:type="dxa"/>
            <w:vMerge w:val="restart"/>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行政管理</w:t>
            </w:r>
          </w:p>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隐患管理</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重大隐患排查、挂牌督办及其整改情况，安全生产举报电话等</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《安全生产法》、《中华人民共和国政府信息公开条例》(国务院令第711号）、《中共中央 国务院关于推进安全生产领域改革发展的意见》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按进展情况及时公开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1485" w:type="dxa"/>
            <w:vMerge w:val="continue"/>
            <w:vAlign w:val="center"/>
          </w:tcPr>
          <w:p>
            <w:pPr>
              <w:jc w:val="cente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 xml:space="preserve">承担处置主责、非敏感的应急信息，包括事故灾害类预警信息、事故信息、事故后采取的应急处置措施和应对结果等  </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《中华人民共和国政府信息公开条例》(国务院令第711号），《中华人民共和国突发事件应对法》，中央办公厅、国务院办公厅《关于全面加强政务公开工作的意见》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按进展情况及时公开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jc w:val="center"/>
              <w:rPr>
                <w:rFonts w:hint="eastAsia" w:ascii="仿宋" w:hAnsi="仿宋" w:eastAsia="仿宋" w:cs="仿宋"/>
                <w:b w:val="0"/>
                <w:bCs/>
                <w:sz w:val="24"/>
                <w:szCs w:val="24"/>
                <w:vertAlign w:val="baseline"/>
                <w:lang w:val="en-US" w:eastAsia="zh-CN"/>
              </w:rPr>
            </w:pPr>
          </w:p>
        </w:tc>
        <w:tc>
          <w:tcPr>
            <w:tcW w:w="1066"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1485" w:type="dxa"/>
            <w:vMerge w:val="continue"/>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黑名单管理</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列入或撤销纳入安全生产黑名单管理的企业信息，具体企业名称、证照编号、经营地址、负责人姓名等</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《中华人民共和国政府信息公开条例》（国务院令第711号）、《社会信用体系建设规划纲要（2014-2020年）》</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left"/>
              <w:textAlignment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bl>
    <w:p/>
    <w:tbl>
      <w:tblPr>
        <w:tblStyle w:val="3"/>
        <w:tblW w:w="22626"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485"/>
        <w:gridCol w:w="1455"/>
        <w:gridCol w:w="1980"/>
        <w:gridCol w:w="2715"/>
        <w:gridCol w:w="1590"/>
        <w:gridCol w:w="1650"/>
        <w:gridCol w:w="4425"/>
        <w:gridCol w:w="1109"/>
        <w:gridCol w:w="1320"/>
        <w:gridCol w:w="1110"/>
        <w:gridCol w:w="1066"/>
        <w:gridCol w:w="97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w:t>
            </w:r>
          </w:p>
        </w:tc>
        <w:tc>
          <w:tcPr>
            <w:tcW w:w="1485" w:type="dxa"/>
            <w:vMerge w:val="restart"/>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行政管理</w:t>
            </w:r>
          </w:p>
          <w:p>
            <w:pPr>
              <w:keepNext w:val="0"/>
              <w:keepLines w:val="0"/>
              <w:widowControl/>
              <w:suppressLineNumbers w:val="0"/>
              <w:jc w:val="both"/>
              <w:textAlignment w:val="center"/>
              <w:rPr>
                <w:rFonts w:hint="eastAsia" w:ascii="仿宋" w:hAnsi="仿宋" w:eastAsia="仿宋" w:cs="仿宋"/>
                <w:b w:val="0"/>
                <w:bCs w:val="0"/>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事故通报</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《安全生产法》、《中华人民共和国政府信息公开条例》(国务院令第711号）、《中共中央 国务院关于推进安全生产领域改革发展的意见》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按照中央有关要求公开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left"/>
              <w:rPr>
                <w:rFonts w:hint="eastAsia" w:ascii="黑体" w:hAnsi="宋体" w:eastAsia="黑体" w:cstheme="minorBidi"/>
                <w:kern w:val="2"/>
                <w:sz w:val="18"/>
                <w:szCs w:val="24"/>
                <w:lang w:val="en-US" w:eastAsia="zh-CN" w:bidi="ar-SA"/>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kern w:val="2"/>
                <w:sz w:val="24"/>
                <w:szCs w:val="24"/>
                <w:vertAlign w:val="baseline"/>
                <w:lang w:val="en-US" w:eastAsia="zh-CN" w:bidi="ar-SA"/>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kern w:val="2"/>
                <w:sz w:val="24"/>
                <w:szCs w:val="24"/>
                <w:vertAlign w:val="baseline"/>
                <w:lang w:val="en-US" w:eastAsia="zh-CN" w:bidi="ar-SA"/>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kern w:val="2"/>
                <w:sz w:val="24"/>
                <w:szCs w:val="24"/>
                <w:vertAlign w:val="baseline"/>
                <w:lang w:val="en-US" w:eastAsia="zh-CN" w:bidi="ar-SA"/>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kern w:val="2"/>
                <w:sz w:val="24"/>
                <w:szCs w:val="24"/>
                <w:vertAlign w:val="baseline"/>
                <w:lang w:val="en-US" w:eastAsia="zh-CN" w:bidi="ar-SA"/>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kern w:val="2"/>
                <w:sz w:val="24"/>
                <w:szCs w:val="24"/>
                <w:vertAlign w:val="baseline"/>
                <w:lang w:val="en-US" w:eastAsia="zh-CN" w:bidi="ar-SA"/>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w:t>
            </w:r>
          </w:p>
        </w:tc>
        <w:tc>
          <w:tcPr>
            <w:tcW w:w="1485" w:type="dxa"/>
            <w:vMerge w:val="continue"/>
            <w:vAlign w:val="center"/>
          </w:tcPr>
          <w:p>
            <w:pPr>
              <w:keepNext w:val="0"/>
              <w:keepLines w:val="0"/>
              <w:widowControl/>
              <w:suppressLineNumbers w:val="0"/>
              <w:jc w:val="left"/>
              <w:textAlignment w:val="center"/>
              <w:rPr>
                <w:rFonts w:hint="eastAsia" w:ascii="仿宋" w:hAnsi="仿宋" w:eastAsia="仿宋" w:cs="仿宋"/>
                <w:b w:val="0"/>
                <w:bCs w:val="0"/>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动态信息</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●业务工作动态           ●安全生产执法检查动态</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《中华人民共和国政府信息公开条例》(国务院令第711号）、《中共中央 国务院关于推进安全生产领域改革发展的意见》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按进展情况及时公开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left"/>
              <w:textAlignment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9"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w:t>
            </w:r>
          </w:p>
        </w:tc>
        <w:tc>
          <w:tcPr>
            <w:tcW w:w="1485" w:type="dxa"/>
            <w:vMerge w:val="continue"/>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安全生产预警提示信息</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 xml:space="preserve">●气象及灾害预警信息 </w:t>
            </w:r>
            <w:r>
              <w:rPr>
                <w:rStyle w:val="8"/>
                <w:rFonts w:hAnsi="宋体"/>
                <w:b w:val="0"/>
                <w:bCs/>
                <w:color w:val="auto"/>
                <w:sz w:val="24"/>
                <w:szCs w:val="24"/>
                <w:lang w:val="en-US" w:eastAsia="zh-CN" w:bidi="ar"/>
              </w:rPr>
              <w:t xml:space="preserve">           ●不同时段、不同领域安全生产提示信息</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《中华人民共和国政府信息公开条例》(国务院令第711号）、《中共中央 国务院关于推进安全生产领域改革发展的意见》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信息形成后及时公开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9"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w:t>
            </w:r>
          </w:p>
        </w:tc>
        <w:tc>
          <w:tcPr>
            <w:tcW w:w="1485" w:type="dxa"/>
            <w:vMerge w:val="restart"/>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公共服务</w:t>
            </w: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政务公开目录</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政务公开事项的索引、名称、内容概述、生成日期等</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《中华人民共和国政府信息公开条例》(国务院令第711号）、《中共中央 国务院关于推进安全生产领域改革发展的意见》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按进展情况及时公开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仿宋" w:hAnsi="仿宋" w:eastAsia="仿宋" w:cs="仿宋"/>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9"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w:t>
            </w:r>
          </w:p>
        </w:tc>
        <w:tc>
          <w:tcPr>
            <w:tcW w:w="1485" w:type="dxa"/>
            <w:vMerge w:val="continue"/>
            <w:vAlign w:val="center"/>
          </w:tcPr>
          <w:p>
            <w:pPr>
              <w:jc w:val="center"/>
              <w:rPr>
                <w:rFonts w:hint="eastAsia" w:ascii="仿宋_GB2312" w:hAnsi="宋体" w:eastAsia="仿宋_GB2312" w:cs="仿宋_GB2312"/>
                <w:b w:val="0"/>
                <w:bCs/>
                <w:i w:val="0"/>
                <w:color w:val="000000"/>
                <w:kern w:val="0"/>
                <w:sz w:val="24"/>
                <w:szCs w:val="24"/>
                <w:u w:val="none"/>
                <w:lang w:val="en-US" w:eastAsia="zh-CN" w:bidi="ar"/>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政务公开标准</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政府信息公开指南等流程性信息</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《中华人民共和国政府信息公开条例》(国务院令第711号）</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按进展情况及时公开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仿宋" w:hAnsi="仿宋" w:eastAsia="仿宋" w:cs="仿宋"/>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861" w:type="dxa"/>
            <w:vAlign w:val="center"/>
          </w:tcPr>
          <w:p>
            <w:pPr>
              <w:jc w:val="center"/>
              <w:rPr>
                <w:rFonts w:hint="eastAsia" w:ascii="仿宋_GB2312" w:hAnsi="宋体" w:eastAsia="仿宋_GB2312" w:cs="仿宋_GB2312"/>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w:t>
            </w:r>
          </w:p>
        </w:tc>
        <w:tc>
          <w:tcPr>
            <w:tcW w:w="1485" w:type="dxa"/>
            <w:vMerge w:val="restart"/>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公共服务</w:t>
            </w: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权力清单及责任清单</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同级政府审批通过的行政执法主体信息和行政许可、行政处罚、行政强制、行政检查、行政确认、行政奖励及其他行政职权等行政执法职权职责清单</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《中华人民共和国政府信息公开条例》(国务院令第711号）、《中共中央 国务院关于推进安全生产领域改革发展的意见》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信息形成或者变更20个工作日内，如有更新，及时公开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仿宋" w:hAnsi="仿宋" w:eastAsia="仿宋" w:cs="仿宋"/>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861" w:type="dxa"/>
            <w:vAlign w:val="center"/>
          </w:tcPr>
          <w:p>
            <w:pPr>
              <w:jc w:val="center"/>
              <w:rPr>
                <w:rFonts w:hint="eastAsia" w:ascii="仿宋_GB2312" w:hAnsi="宋体" w:eastAsia="仿宋_GB2312" w:cs="仿宋_GB2312"/>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w:t>
            </w:r>
          </w:p>
        </w:tc>
        <w:tc>
          <w:tcPr>
            <w:tcW w:w="1485" w:type="dxa"/>
            <w:vMerge w:val="continue"/>
            <w:vAlign w:val="center"/>
          </w:tcPr>
          <w:p>
            <w:pPr>
              <w:jc w:val="center"/>
              <w:rPr>
                <w:rFonts w:hint="eastAsia" w:ascii="仿宋_GB2312" w:hAnsi="宋体" w:eastAsia="仿宋_GB2312" w:cs="仿宋_GB2312"/>
                <w:b w:val="0"/>
                <w:bCs/>
                <w:i w:val="0"/>
                <w:color w:val="000000"/>
                <w:kern w:val="0"/>
                <w:sz w:val="24"/>
                <w:szCs w:val="24"/>
                <w:u w:val="none"/>
                <w:lang w:val="en-US" w:eastAsia="zh-CN" w:bidi="ar"/>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主要业务办事指南</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主要业务工作的办事依据、程序、时限，办事时间、地点、部门、联系方式及相关办理结果</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《中华人民共和国政府信息公开条例》(国务院令第711号）、《中共中央 国务院关于推进安全生产领域改革发展的意见》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信息形成或者变更之日起20个工作日内</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仿宋" w:hAnsi="仿宋" w:eastAsia="仿宋" w:cs="仿宋"/>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861" w:type="dxa"/>
            <w:vAlign w:val="center"/>
          </w:tcPr>
          <w:p>
            <w:pPr>
              <w:jc w:val="center"/>
              <w:rPr>
                <w:rFonts w:hint="eastAsia" w:ascii="仿宋_GB2312" w:hAnsi="宋体" w:eastAsia="仿宋_GB2312" w:cs="仿宋_GB2312"/>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w:t>
            </w:r>
          </w:p>
        </w:tc>
        <w:tc>
          <w:tcPr>
            <w:tcW w:w="1485" w:type="dxa"/>
            <w:vMerge w:val="continue"/>
            <w:vAlign w:val="center"/>
          </w:tcPr>
          <w:p>
            <w:pPr>
              <w:jc w:val="center"/>
              <w:rPr>
                <w:rFonts w:hint="eastAsia" w:ascii="仿宋_GB2312" w:hAnsi="宋体" w:eastAsia="仿宋_GB2312" w:cs="仿宋_GB2312"/>
                <w:b w:val="0"/>
                <w:bCs/>
                <w:i w:val="0"/>
                <w:color w:val="000000"/>
                <w:kern w:val="0"/>
                <w:sz w:val="24"/>
                <w:szCs w:val="24"/>
                <w:u w:val="none"/>
                <w:lang w:val="en-US" w:eastAsia="zh-CN" w:bidi="ar"/>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年度报告</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政府信息公开年度报告及相关统计报表</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《中华人民共和国政府信息公开条例》(国务院令第711号）</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每年1月31日前</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仿宋" w:hAnsi="仿宋" w:eastAsia="仿宋" w:cs="仿宋"/>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861" w:type="dxa"/>
            <w:vAlign w:val="center"/>
          </w:tcPr>
          <w:p>
            <w:pPr>
              <w:jc w:val="center"/>
              <w:rPr>
                <w:rFonts w:hint="eastAsia" w:ascii="仿宋_GB2312" w:hAnsi="宋体" w:eastAsia="仿宋_GB2312" w:cs="仿宋_GB2312"/>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w:t>
            </w:r>
          </w:p>
        </w:tc>
        <w:tc>
          <w:tcPr>
            <w:tcW w:w="1485"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重点领域信息公开</w:t>
            </w: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财政资金信息</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●预算、决算                       ●“三公”经费                     ●安全生产专项资金使用等财政资金信息</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《中华人民共和国政府信息公开条例》(国务院令第711号）、《国务院关于深化预算管理制度改革的决定》、《国务院办公厅关于进一步推进预算公开工作意见的通知》</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按中央要求时限公开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仿宋" w:hAnsi="仿宋" w:eastAsia="仿宋" w:cs="仿宋"/>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24</w:t>
            </w:r>
          </w:p>
        </w:tc>
        <w:tc>
          <w:tcPr>
            <w:tcW w:w="1485" w:type="dxa"/>
            <w:vMerge w:val="restart"/>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重点领域信息公开</w:t>
            </w: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政府采购信息</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本单位采购实施情况相关信息</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《中华人民共和国政府信息公开条例》(国务院令第711号）,《国务院关于深化预算管理制度改革的决定》(国发〔2014〕45号),中办、国办印发《关于进一步推进预算公开工作的意见》的通知</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按进展情况及时公开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仿宋" w:hAnsi="仿宋" w:eastAsia="仿宋" w:cs="仿宋"/>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25</w:t>
            </w:r>
          </w:p>
        </w:tc>
        <w:tc>
          <w:tcPr>
            <w:tcW w:w="1485" w:type="dxa"/>
            <w:vMerge w:val="continue"/>
            <w:vAlign w:val="center"/>
          </w:tcPr>
          <w:p>
            <w:pPr>
              <w:jc w:val="center"/>
              <w:rPr>
                <w:rFonts w:hint="eastAsia" w:ascii="仿宋_GB2312" w:hAnsi="宋体" w:eastAsia="仿宋_GB2312" w:cs="仿宋_GB2312"/>
                <w:b w:val="0"/>
                <w:bCs/>
                <w:i w:val="0"/>
                <w:color w:val="000000"/>
                <w:kern w:val="0"/>
                <w:sz w:val="24"/>
                <w:szCs w:val="24"/>
                <w:u w:val="none"/>
                <w:lang w:val="en-US" w:eastAsia="zh-CN" w:bidi="ar"/>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办事纪律和监督管理</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本单位的办事纪律,受理投诉、举报、信访的途径等内容</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《中华人民共和国政府信息公开条例》(国务院令第711号）、《中共中央 国务院关于推进安全生产领域改革发展的意见》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按进展情况及时公开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仿宋" w:hAnsi="仿宋" w:eastAsia="仿宋" w:cs="仿宋"/>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26</w:t>
            </w:r>
          </w:p>
        </w:tc>
        <w:tc>
          <w:tcPr>
            <w:tcW w:w="1485" w:type="dxa"/>
            <w:vMerge w:val="continue"/>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重大工程项目信息</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项目名称、执行措施、责任分工、取得成效、后续举措等</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《中华人民共和国政府信息公开条例》(国务院令第711号）、《国务院办公厅关于推进重大建设项目批准和实施领域政府信息公开的意见》（国办发〔2017〕94号）</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按照中央有关要求公开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仿宋" w:hAnsi="仿宋" w:eastAsia="仿宋" w:cs="仿宋"/>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861" w:type="dxa"/>
            <w:vAlign w:val="center"/>
          </w:tcPr>
          <w:p>
            <w:pPr>
              <w:jc w:val="center"/>
              <w:rPr>
                <w:rFonts w:hint="eastAsia" w:ascii="仿宋_GB2312" w:hAnsi="宋体" w:eastAsia="仿宋_GB2312" w:cs="仿宋_GB2312"/>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27</w:t>
            </w:r>
          </w:p>
        </w:tc>
        <w:tc>
          <w:tcPr>
            <w:tcW w:w="1485" w:type="dxa"/>
            <w:vMerge w:val="continue"/>
            <w:vAlign w:val="center"/>
          </w:tcPr>
          <w:p>
            <w:pPr>
              <w:jc w:val="center"/>
              <w:rPr>
                <w:rFonts w:hint="eastAsia" w:ascii="仿宋_GB2312" w:hAnsi="宋体" w:eastAsia="仿宋_GB2312" w:cs="仿宋_GB2312"/>
                <w:b w:val="0"/>
                <w:bCs/>
                <w:i w:val="0"/>
                <w:color w:val="000000"/>
                <w:kern w:val="0"/>
                <w:sz w:val="24"/>
                <w:szCs w:val="24"/>
                <w:u w:val="none"/>
                <w:lang w:val="en-US" w:eastAsia="zh-CN" w:bidi="ar"/>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检查和巡查发现安全监管监察问题</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检查和巡查发现的、并要求向社会公开的问题及整改落实情况</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《中华人民共和国政府信息公开条例》(国务院令第711号）、《中共中央 国务院关于推进安全生产领域改革发展的意见》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按进展情况及时公开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仿宋" w:hAnsi="仿宋" w:eastAsia="仿宋" w:cs="仿宋"/>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28</w:t>
            </w:r>
          </w:p>
        </w:tc>
        <w:tc>
          <w:tcPr>
            <w:tcW w:w="1485" w:type="dxa"/>
            <w:vMerge w:val="continue"/>
            <w:vAlign w:val="center"/>
          </w:tcPr>
          <w:p>
            <w:pPr>
              <w:jc w:val="center"/>
              <w:rPr>
                <w:rFonts w:hint="eastAsia" w:ascii="仿宋_GB2312" w:hAnsi="宋体" w:eastAsia="仿宋_GB2312" w:cs="仿宋_GB2312"/>
                <w:b w:val="0"/>
                <w:bCs/>
                <w:i w:val="0"/>
                <w:color w:val="000000"/>
                <w:kern w:val="0"/>
                <w:sz w:val="24"/>
                <w:szCs w:val="24"/>
                <w:u w:val="none"/>
                <w:lang w:val="en-US" w:eastAsia="zh-CN" w:bidi="ar"/>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建议提案办理</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●办理制度与推进情况            ●人大代表建议办理              ●政协委员提案办理</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《中华人民共和国政府信息公开条例》(国务院令第711号）、《国务院办公厅关于做好全国人大代表建议和全国政协委员提案办理结果公开工作的通知》（国办发〔2014〕46号）</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按照中央有关要求公开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auto"/>
                <w:kern w:val="0"/>
                <w:sz w:val="24"/>
                <w:szCs w:val="24"/>
                <w:u w:val="none"/>
                <w:lang w:val="en-US" w:eastAsia="zh-CN" w:bidi="ar"/>
              </w:rPr>
            </w:pPr>
            <w:r>
              <w:rPr>
                <w:rFonts w:hint="eastAsia" w:ascii="仿宋_GB2312" w:hAnsi="宋体" w:eastAsia="仿宋_GB2312" w:cs="仿宋_GB2312"/>
                <w:b w:val="0"/>
                <w:bCs/>
                <w:i w:val="0"/>
                <w:color w:val="auto"/>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bookmarkStart w:id="0" w:name="_GoBack"/>
            <w:bookmarkEnd w:id="0"/>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仿宋" w:hAnsi="仿宋" w:eastAsia="仿宋" w:cs="仿宋"/>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18"/>
                <w:szCs w:val="18"/>
                <w:u w:val="none"/>
                <w:lang w:val="en-US" w:eastAsia="zh-CN" w:bidi="ar"/>
              </w:rPr>
              <w:t>√</w:t>
            </w:r>
          </w:p>
        </w:tc>
        <w:tc>
          <w:tcPr>
            <w:tcW w:w="861" w:type="dxa"/>
            <w:vAlign w:val="center"/>
          </w:tcPr>
          <w:p>
            <w:pPr>
              <w:jc w:val="center"/>
              <w:rPr>
                <w:rFonts w:hint="eastAsia" w:ascii="仿宋_GB2312" w:hAnsi="宋体" w:eastAsia="仿宋_GB2312" w:cs="仿宋_GB2312"/>
                <w:b w:val="0"/>
                <w:bCs/>
                <w:i w:val="0"/>
                <w:color w:val="000000"/>
                <w:kern w:val="0"/>
                <w:sz w:val="24"/>
                <w:szCs w:val="24"/>
                <w:u w:val="none"/>
                <w:lang w:val="en-US" w:eastAsia="zh-CN" w:bidi="ar"/>
              </w:rPr>
            </w:pPr>
          </w:p>
        </w:tc>
      </w:tr>
    </w:tbl>
    <w:p>
      <w:pPr>
        <w:jc w:val="both"/>
        <w:rPr>
          <w:rFonts w:hint="default" w:ascii="方正小标宋简体" w:hAnsi="方正小标宋简体" w:eastAsia="方正小标宋简体" w:cs="方正小标宋简体"/>
          <w:sz w:val="44"/>
          <w:szCs w:val="44"/>
          <w:lang w:val="en-US" w:eastAsia="zh-CN"/>
        </w:rPr>
      </w:pPr>
    </w:p>
    <w:sectPr>
      <w:pgSz w:w="23757" w:h="16783" w:orient="landscape"/>
      <w:pgMar w:top="1293"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668EF"/>
    <w:rsid w:val="007108F2"/>
    <w:rsid w:val="16642837"/>
    <w:rsid w:val="180F4F9B"/>
    <w:rsid w:val="21141D29"/>
    <w:rsid w:val="481A1EF5"/>
    <w:rsid w:val="49832B81"/>
    <w:rsid w:val="70395516"/>
    <w:rsid w:val="76141D79"/>
    <w:rsid w:val="795C7585"/>
    <w:rsid w:val="7E76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61"/>
    <w:basedOn w:val="4"/>
    <w:qFormat/>
    <w:uiPriority w:val="0"/>
    <w:rPr>
      <w:rFonts w:hint="eastAsia" w:ascii="仿宋_GB2312" w:eastAsia="仿宋_GB2312" w:cs="仿宋_GB2312"/>
      <w:b/>
      <w:color w:val="000000"/>
      <w:sz w:val="18"/>
      <w:szCs w:val="18"/>
      <w:u w:val="none"/>
    </w:rPr>
  </w:style>
  <w:style w:type="character" w:customStyle="1" w:styleId="6">
    <w:name w:val="font31"/>
    <w:basedOn w:val="4"/>
    <w:qFormat/>
    <w:uiPriority w:val="0"/>
    <w:rPr>
      <w:rFonts w:hint="eastAsia" w:ascii="仿宋_GB2312" w:eastAsia="仿宋_GB2312" w:cs="仿宋_GB2312"/>
      <w:b/>
      <w:color w:val="000000"/>
      <w:sz w:val="18"/>
      <w:szCs w:val="18"/>
      <w:u w:val="none"/>
    </w:rPr>
  </w:style>
  <w:style w:type="character" w:customStyle="1" w:styleId="7">
    <w:name w:val="font51"/>
    <w:basedOn w:val="4"/>
    <w:qFormat/>
    <w:uiPriority w:val="0"/>
    <w:rPr>
      <w:rFonts w:hint="eastAsia" w:ascii="仿宋_GB2312" w:eastAsia="仿宋_GB2312" w:cs="仿宋_GB2312"/>
      <w:b/>
      <w:color w:val="000000"/>
      <w:sz w:val="18"/>
      <w:szCs w:val="18"/>
      <w:u w:val="none"/>
    </w:rPr>
  </w:style>
  <w:style w:type="character" w:customStyle="1" w:styleId="8">
    <w:name w:val="font11"/>
    <w:basedOn w:val="4"/>
    <w:qFormat/>
    <w:uiPriority w:val="0"/>
    <w:rPr>
      <w:rFonts w:hint="eastAsia" w:ascii="仿宋_GB2312"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2020-05-25T08:58:00Z</dcterms:created>
  <dc:creator>Administrator</dc:creator>
  <cp:lastModifiedBy>纯、属虚构</cp:lastModifiedBy>
  <cp:lastPrinted>2020-06-01T00:23:00Z</cp:lastPrinted>
  <dcterms:modified xsi:type="dcterms:W3CDTF">2020-06-30T07:27:03Z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