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2EC3">
      <w:pPr>
        <w:spacing w:line="560" w:lineRule="exact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24年高新区一般公共预算收入执行情况的说明</w:t>
      </w:r>
    </w:p>
    <w:p w14:paraId="58C02437">
      <w:pPr>
        <w:spacing w:line="560" w:lineRule="exact"/>
        <w:jc w:val="center"/>
        <w:rPr>
          <w:rFonts w:ascii="宋体"/>
          <w:b/>
          <w:color w:val="000000"/>
          <w:sz w:val="36"/>
          <w:szCs w:val="36"/>
        </w:rPr>
      </w:pPr>
    </w:p>
    <w:p w14:paraId="7244948A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市人大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会议批准，2024年高新区一般公共预算收入年初预算为54013万元，全年完成49216万元，为预算的91.1%，比上年下降</w:t>
      </w:r>
      <w:r>
        <w:rPr>
          <w:rFonts w:hint="eastAsia" w:ascii="宋体" w:hAnsi="宋体" w:cs="宋体"/>
          <w:color w:val="000000"/>
          <w:sz w:val="32"/>
          <w:szCs w:val="30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%。其中：税收收入24779万元，为预算的65.5%，比上年下降16.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%；非税收入24437万元，为预算的151.2%，比上年增长16.3%。主要项目执行情况是：</w:t>
      </w:r>
    </w:p>
    <w:p w14:paraId="7F2B629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1.增值税10321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，为预算的55.4%，减少</w:t>
      </w:r>
      <w:r>
        <w:rPr>
          <w:rFonts w:hint="eastAsia" w:ascii="宋体" w:hAnsi="宋体" w:cs="宋体"/>
          <w:color w:val="000000"/>
          <w:sz w:val="32"/>
          <w:szCs w:val="30"/>
        </w:rPr>
        <w:t>3608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，下降25.9%。</w:t>
      </w:r>
    </w:p>
    <w:p w14:paraId="2414C792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2.企业所得税3052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，为预算的52.7%，减少1785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，下降36.9%。</w:t>
      </w:r>
    </w:p>
    <w:p w14:paraId="44EB4186">
      <w:pPr>
        <w:adjustRightInd w:val="0"/>
        <w:snapToGrid w:val="0"/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3.城市维护建设税等11406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，为预算的84.9%，增加465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highlight w:val="none"/>
        </w:rPr>
        <w:t>4.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2052995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4.专项收入等非税收入24437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，为预算的151.2%，增加3428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，增长16.3%。</w:t>
      </w:r>
    </w:p>
    <w:p w14:paraId="50F6ED1B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22E669BD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5C4BC7B0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59F72DF0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10A25D94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5F4B5E12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2C09D1B8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50C68B48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58D88908"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 w14:paraId="511EC84A">
      <w:pPr>
        <w:spacing w:line="56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24年高新区一般公共预算支出执行情况的</w:t>
      </w:r>
    </w:p>
    <w:p w14:paraId="78C69480">
      <w:pPr>
        <w:spacing w:line="560" w:lineRule="exact"/>
        <w:ind w:firstLine="3776" w:firstLineChars="1049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 w14:paraId="586892A8">
      <w:pPr>
        <w:spacing w:line="560" w:lineRule="exact"/>
        <w:ind w:firstLine="627" w:firstLineChars="196"/>
        <w:rPr>
          <w:rFonts w:ascii="仿宋_GB2312" w:hAnsi="文星仿宋" w:eastAsia="仿宋_GB2312"/>
          <w:color w:val="000000"/>
          <w:sz w:val="32"/>
          <w:szCs w:val="30"/>
        </w:rPr>
      </w:pPr>
    </w:p>
    <w:p w14:paraId="23EABFC8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市人大会议批准的2024年高新区一般公共预算支出年初预算为39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688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万元（含线下债务还本支出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1505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万元），执行中因上级补助增加、结余结转等安排的支出，全年支出预算调整为42867万元，全年支出40790万元，为调整预算的95.2%，增长0.3%。主要项目执行情况是：</w:t>
      </w:r>
    </w:p>
    <w:p w14:paraId="53ED111B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1.一般公共服务支出8057万元，为预算的81.9%，减少1934万元，下降19.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254B8F53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2.公共安全支出698万元，为预算的100%，增加49万元，增长7.6%。</w:t>
      </w:r>
    </w:p>
    <w:p w14:paraId="4F1180FD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3.教育支出5914万元，为预算的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%，增加169万元，增长2.9%。</w:t>
      </w:r>
    </w:p>
    <w:p w14:paraId="1CB1DCC1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科学技术支出4987万元，为预算的98.5%，增加824万元，增长19.8%。</w:t>
      </w:r>
    </w:p>
    <w:p w14:paraId="66DC0417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文化旅游体育与传媒支出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万元，为预算的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。</w:t>
      </w:r>
    </w:p>
    <w:p w14:paraId="40E9EF97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.社会保障和就业支出6845万元，为预算的100%，增加1687万元，增长32.7%。</w:t>
      </w:r>
    </w:p>
    <w:p w14:paraId="40623793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.卫生健康支出2918万元，为预算的100%，减少265万元，下降8.3%。</w:t>
      </w:r>
    </w:p>
    <w:p w14:paraId="67F2769D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.节能环保支出701万元，为预算的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87.5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%，减少54万元，下降7.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38D6527F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.城乡社区支出3010万元，为预算的97.6%，减少642万元，下降17.6%。</w:t>
      </w:r>
    </w:p>
    <w:p w14:paraId="15385156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.农林水支出2074万元，为预算的98.7%，增加980万元，增长89.6%。</w:t>
      </w:r>
    </w:p>
    <w:p w14:paraId="31482025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.交通运输支出503万元，为预算的96%，增加367万元，增长269.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5104DFA1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.资源勘探信息等支出35万元，为预算的100%，减少108万元，下降7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08DCA730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.商业服务业等支出450万元，为预算的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%，增加45万元，增长11.1%。</w:t>
      </w:r>
    </w:p>
    <w:p w14:paraId="2E579665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.住房保障支出3463万元，为预算的100%，增加1429万元，增长70.3%。</w:t>
      </w:r>
    </w:p>
    <w:p w14:paraId="55291B84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.灾害防治及应急管理支出314万元，为预算的100%，增加59万元，增长23.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1CC65EC5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.其他支出219万元，为预算的100%，减少2492万元，下降91.9%。</w:t>
      </w:r>
    </w:p>
    <w:p w14:paraId="514B6215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.债务付息支出575万元，为预算的100%，减少28万元，下降4.6%。</w:t>
      </w:r>
    </w:p>
    <w:p w14:paraId="379C3793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汇总以上科目，教育、社会保障和就业、卫生健康、文化体育与传媒、农林水、交通运输、节能环保、住房保障、城乡社区等民生支出合计25455万元，占一般公共预算支出的比重62.4%。</w:t>
      </w:r>
    </w:p>
    <w:p w14:paraId="1C92E314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247FA494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6C37B7D4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11FA6AE9">
      <w:pPr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年高新区一般公共预算收入</w:t>
      </w:r>
    </w:p>
    <w:p w14:paraId="35D50D86">
      <w:pPr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预算情况的说明</w:t>
      </w:r>
    </w:p>
    <w:p w14:paraId="1086D1CC">
      <w:pPr>
        <w:spacing w:line="560" w:lineRule="exact"/>
        <w:jc w:val="center"/>
        <w:rPr>
          <w:rFonts w:ascii="仿宋_GB2312" w:eastAsia="仿宋_GB2312"/>
          <w:color w:val="000000"/>
          <w:sz w:val="44"/>
          <w:szCs w:val="44"/>
        </w:rPr>
      </w:pPr>
    </w:p>
    <w:p w14:paraId="610844D0">
      <w:pPr>
        <w:spacing w:line="560" w:lineRule="exact"/>
        <w:ind w:firstLine="640"/>
        <w:rPr>
          <w:rFonts w:hint="default" w:ascii="方正仿宋_GB2312" w:hAnsi="方正仿宋_GB2312" w:eastAsia="方正仿宋_GB2312" w:cs="方正仿宋_GB2312"/>
          <w:color w:val="000000"/>
          <w:sz w:val="32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年高新区一般公共预算收入总计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50353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万元，其中：区本级收入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51431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万元；上级补助收入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-1078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万元（返还性收入-3925万元，一般性转移支付收入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2847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专项转移支付收入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。</w:t>
      </w:r>
    </w:p>
    <w:p w14:paraId="2032E8BF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一、区本级收入主要项目情况</w:t>
      </w:r>
    </w:p>
    <w:p w14:paraId="6B3AA871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区本级一般公共预算收入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51431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.5%。其中：税收收入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28801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16.2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%；非税收入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22630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万元，可比减少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7.4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%。主要项目情况是：</w:t>
      </w:r>
    </w:p>
    <w:p w14:paraId="7F7AD6E3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1.增值税收入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12432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052DB5EB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2.企业所得税收入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3675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2FFD6189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 个人所得税收入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510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6EA81790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4.城市维护建设税等收入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12184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38250FBB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5.专项收入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1500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06E25E1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6.罚没收入300万元。</w:t>
      </w:r>
    </w:p>
    <w:p w14:paraId="7DF22876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7.国有资源(资产)有偿使用收入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20830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26ECF703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二、上级补助收入项目情况</w:t>
      </w:r>
    </w:p>
    <w:p w14:paraId="0D19B66A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上级补助收入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-1078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万元，其中：返还性收入-3925万元，一般性转移支付收入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2847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元。具体项目情况是：</w:t>
      </w:r>
    </w:p>
    <w:p w14:paraId="7F6415ED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1.返还性收入-3925万元，其中：增值税税收返还-4011万元，所得税基数返还86万元。</w:t>
      </w:r>
    </w:p>
    <w:p w14:paraId="34ABCB36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2.一般性转移支付收入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2847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元，其中：均衡性转移支付收入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658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万元，结算补助收入2万元，固定数额补助收入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276万元，教育共同财政事权转移支付收入491万元，社会保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障和就业共同财政事权转移支付收入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589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万元，医疗卫生共同财政事权转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583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农林水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共同财政事权转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248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2DA83B40">
      <w:pPr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000000"/>
          <w:sz w:val="32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专项转移支付收入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0A147D11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3B14D004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460E5685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14:paraId="3316650C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B33C064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0E3011EC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3349AED6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2D743161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68B67558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22646141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4322CD8C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150D6ACF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09C2FA89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2A629196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0FD5DB32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77DD97D2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706F4449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3E2EF8A9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2659D4BD"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 w14:paraId="73E979BE">
      <w:pPr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年高新区一般公共预算支出</w:t>
      </w:r>
    </w:p>
    <w:p w14:paraId="47E2D555">
      <w:pPr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预算情况的说明</w:t>
      </w:r>
    </w:p>
    <w:p w14:paraId="22A27234"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3F9A36AF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年高新区一般公共预算支出总计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50353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万元，其中：区本级支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47085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万元（含线下债务还本支出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550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万元），上解上级支出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3268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万元（体制上解支出425万元，专项上解支出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2843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万元）。</w:t>
      </w:r>
    </w:p>
    <w:p w14:paraId="7EFE97A2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一、区本级支出主要项目情况</w:t>
      </w:r>
    </w:p>
    <w:p w14:paraId="113F1C31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区本级一般公共预算支出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47085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万元（含线下债务还本支出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550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万元），可比增长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18.6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%。其中，人员和公用经费等基本支出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20521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43.6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%；项目支出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26564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56.4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%。财政拨款安排的主要支出项目情况是：</w:t>
      </w:r>
    </w:p>
    <w:p w14:paraId="7E6A6FC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0"/>
          <w:lang w:val="en-US" w:eastAsia="zh-CN" w:bidi="ar-SA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一般公共服务支出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9585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万元，可比减少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4.8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2D5BD31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0"/>
          <w:lang w:val="en-US" w:eastAsia="zh-CN" w:bidi="ar-SA"/>
        </w:rPr>
        <w:t>2.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公共安全支出590万元，可比增长44.6%。</w:t>
      </w:r>
    </w:p>
    <w:p w14:paraId="76A2318B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.教育支出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5249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减少3.8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4F709AB2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.科学技术支出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882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万元，可比减少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14724F94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.文化旅游体育与传媒支出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4万元，可比减少1%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。</w:t>
      </w:r>
    </w:p>
    <w:p w14:paraId="50A15E79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.社会保障和就业支出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6465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减少2.5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6932C007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.卫生健康支出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1897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万元，可比增加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746682D0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.节能环保支出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994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增加3.8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3C09E590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.城乡社区支出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2016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万元，可比增加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10.8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4DCA3818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.农林水支出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825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减少12.2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6EC729D5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.资源勘探工业信息等支出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可比减少100%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。</w:t>
      </w:r>
    </w:p>
    <w:p w14:paraId="08987237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.商业服务业等支出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678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5.3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0A51340E">
      <w:pPr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13.自然资源海洋气象等支出195万元。</w:t>
      </w:r>
    </w:p>
    <w:p w14:paraId="397C299A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.住房保障支出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7981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万元，可比增长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1.2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1C4A7905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.灾害防治及应急管理支出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624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元，可比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增长3.8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</w:t>
      </w:r>
    </w:p>
    <w:p w14:paraId="0E6DE547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.预备费1000万元，与上年持平。</w:t>
      </w:r>
    </w:p>
    <w:p w14:paraId="13CA88E7">
      <w:pPr>
        <w:spacing w:line="560" w:lineRule="exact"/>
        <w:ind w:left="638" w:leftChars="304" w:firstLine="0" w:firstLineChars="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.债务还本支出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550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万元（线下支出），可比减少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63.5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%。1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.债务付息支出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550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万元，可比减少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4.3%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。</w:t>
      </w:r>
    </w:p>
    <w:p w14:paraId="3EE44BAD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.其他支出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7000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可比增加250%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。</w:t>
      </w:r>
    </w:p>
    <w:p w14:paraId="3C314ABA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二、上解上级支出项目情况</w:t>
      </w:r>
    </w:p>
    <w:p w14:paraId="754E7157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上解上级支出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3268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万元，其中：体制上解支出425万元，专项上解支出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2843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07EC227C">
      <w:pPr>
        <w:tabs>
          <w:tab w:val="left" w:pos="6360"/>
        </w:tabs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6B4BBBBD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72DC214A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06155F12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294F6E6D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447754DE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0A3EFFE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4ABA0CF7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BC47D5E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68898C3E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050BE0FA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0567C4A4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7D7A40FF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17F2D31A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2F69DAA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1A0BD613"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F19129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24年高新区政府性基金收入预算执行情况的</w:t>
      </w:r>
    </w:p>
    <w:p w14:paraId="7A1A1CD7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 w14:paraId="3BAEBED1"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 w14:paraId="5F265847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 xml:space="preserve">按照市与区财政体制,政府性基金收入预算已并入市级基金预算。执行中上级补助政府性基金预算收入114万元，结余结转收入4070万元，调入资金34963万元，新增地方政府债券113536万元，收入总计为152683万元。 </w:t>
      </w:r>
    </w:p>
    <w:p w14:paraId="5A4D95B6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??" w:hAnsi="??" w:eastAsia="Times New Roman"/>
          <w:color w:val="000000"/>
          <w:sz w:val="32"/>
          <w:szCs w:val="32"/>
        </w:rPr>
      </w:pPr>
    </w:p>
    <w:p w14:paraId="752FC1DF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1F7FFD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??" w:hAnsi="??" w:eastAsia="Times New Roman"/>
          <w:color w:val="000000"/>
          <w:sz w:val="32"/>
          <w:szCs w:val="32"/>
        </w:rPr>
      </w:pPr>
    </w:p>
    <w:p w14:paraId="55E55438"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 w14:paraId="34754D80"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 w14:paraId="0BC8EDDD"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 w14:paraId="720BA8EA"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 w14:paraId="2479D9DB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 w14:paraId="2357A7CD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 w14:paraId="46D79139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 w14:paraId="1B55663C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 w14:paraId="2287A030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 w14:paraId="6DEAB15D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 w14:paraId="5966162B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 w14:paraId="6269D3FC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 w14:paraId="592D016E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 w14:paraId="1983AD42"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 w14:paraId="34FCAAC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24年高新区政府性基金支出预算执行情况的</w:t>
      </w:r>
    </w:p>
    <w:p w14:paraId="3BFB638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 w14:paraId="254A2851"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 w14:paraId="3B59DC14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按市与区财政体制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高新区国有土地使用权出让收支及计提的各项费用、城市基础设施配套费收支全部纳入市本级预算管理,区本级年初预算仅安排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上级提前下达11547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万元。执行中加上上级追加等安排支出，支出预算调整为35824万元。全年完成31344万元，为调整预算的87.5%，比上年增加11025万元，增长54.3%。</w:t>
      </w:r>
    </w:p>
    <w:p w14:paraId="38BA8843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主要项目执行情况是：</w:t>
      </w:r>
    </w:p>
    <w:p w14:paraId="192FD281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 城乡社区安排的支出24714万元，为预算的84.8%，增加9298万元，增长60.3%。</w:t>
      </w:r>
    </w:p>
    <w:p w14:paraId="5BA7EC5F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2.农林水支出13万元，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为预算的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。</w:t>
      </w:r>
    </w:p>
    <w:p w14:paraId="02CF6B4C">
      <w:pPr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3.资源勘探信息等支出1万元，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为预算的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。</w:t>
      </w:r>
    </w:p>
    <w:p w14:paraId="4C94ADAA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其他支出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1591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万元，为预算的96.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%，增加1556万元，增长4445%。</w:t>
      </w:r>
    </w:p>
    <w:p w14:paraId="189328A5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.债务付息支出5020万元，为预算的100%，增加211万元，增长4.4%。</w:t>
      </w:r>
    </w:p>
    <w:p w14:paraId="3AC50BCE">
      <w:pPr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6.债务发行费用支出5万元，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为预算的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。</w:t>
      </w:r>
    </w:p>
    <w:p w14:paraId="379183A1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7515C819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76D3D98B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1DEBFE08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 w14:paraId="3BACC8C7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 w14:paraId="0171B6A3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年高新区政府性基金收入支出预算情况的</w:t>
      </w:r>
    </w:p>
    <w:p w14:paraId="372FB533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 w14:paraId="674B22BA"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 w14:paraId="5241570B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年政府性基金预算,按市对区新财政体制,已并入市级基金预算,区本级仅安排上级提前下达预算。</w:t>
      </w:r>
    </w:p>
    <w:p w14:paraId="52875914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2025年政府性基金预算收入总计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9115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万元，其中：上级补助收入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，债务转贷收入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9100万元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。</w:t>
      </w:r>
    </w:p>
    <w:p w14:paraId="32106E7A">
      <w:pPr>
        <w:spacing w:line="560" w:lineRule="exact"/>
        <w:ind w:firstLine="640" w:firstLineChars="200"/>
        <w:rPr>
          <w:rFonts w:hint="default" w:ascii="仿宋_GB2312" w:hAnsi="文星仿宋" w:eastAsia="仿宋_GB2312"/>
          <w:color w:val="00000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年高新区政府性基金支出预算总计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9115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万元，其中：政府性基金转移收入安排支出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highlight w:val="none"/>
          <w:lang w:eastAsia="zh-CN"/>
        </w:rPr>
        <w:t>债务转贷收入安排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highlight w:val="none"/>
          <w:lang w:val="en-US" w:eastAsia="zh-CN"/>
        </w:rPr>
        <w:t>支出9100万元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highlight w:val="none"/>
        </w:rPr>
        <w:t>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主要支出项目为：彩票公益金安排的支出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highlight w:val="none"/>
          <w:lang w:eastAsia="zh-CN"/>
        </w:rPr>
        <w:t>专项债务还本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highlight w:val="none"/>
          <w:lang w:val="en-US" w:eastAsia="zh-CN"/>
        </w:rPr>
        <w:t>支出9100万元。</w:t>
      </w:r>
    </w:p>
    <w:p w14:paraId="380FD484">
      <w:pPr>
        <w:autoSpaceDE w:val="0"/>
        <w:autoSpaceDN w:val="0"/>
        <w:adjustRightInd w:val="0"/>
        <w:snapToGrid w:val="0"/>
        <w:spacing w:line="560" w:lineRule="exact"/>
        <w:ind w:firstLine="964" w:firstLineChars="200"/>
        <w:rPr>
          <w:rFonts w:ascii="仿宋_GB2312" w:hAnsi="文星仿宋" w:eastAsia="仿宋_GB2312"/>
          <w:b/>
          <w:color w:val="000000"/>
          <w:sz w:val="48"/>
          <w:szCs w:val="32"/>
        </w:rPr>
      </w:pPr>
    </w:p>
    <w:p w14:paraId="3541D4CA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1234E484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494B2092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27DA2C08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32C100DB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68236B42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73E970A4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3D57896A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532B821D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6570CD48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61AA086D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2B2CF355"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 w14:paraId="56E41220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关于2024年高新区国有资本经营</w:t>
      </w:r>
    </w:p>
    <w:p w14:paraId="00C7BFF7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收支预算执行情况的说明</w:t>
      </w:r>
    </w:p>
    <w:p w14:paraId="63B758E0">
      <w:pPr>
        <w:spacing w:line="560" w:lineRule="exact"/>
        <w:ind w:firstLine="640" w:firstLineChars="200"/>
        <w:rPr>
          <w:color w:val="000000"/>
          <w:sz w:val="32"/>
          <w:szCs w:val="32"/>
        </w:rPr>
      </w:pPr>
    </w:p>
    <w:p w14:paraId="32BA792E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2024年，高新区国有资本经营年初未安排收支预算，执行中因上级补助增加、结余结转等安排的支出，支出预算调整为26万元。主要项目执行情况是：</w:t>
      </w:r>
    </w:p>
    <w:p w14:paraId="13F55A1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一、国有资本经营收入预算执行情况</w:t>
      </w:r>
    </w:p>
    <w:p w14:paraId="5BA294B8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区本级国有资本经营年初未安排收入预算，执行中因上级补助增加，国有资本经营预算收入总计26万元。</w:t>
      </w:r>
    </w:p>
    <w:p w14:paraId="59C8E356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二、国有资本经营支出预算执行情况</w:t>
      </w:r>
    </w:p>
    <w:p w14:paraId="03514895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区本级国有资本经营年初未安排支出预算，执行中因上级补助增加，支出预算调整为26万元，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全年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支出26万元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完成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调整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预算的100%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。</w:t>
      </w:r>
    </w:p>
    <w:p w14:paraId="28682C8B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06E6FBE1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60646619"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 w14:paraId="357F08FD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270F0D1A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75ED28F5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60834A60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17189F05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1464342F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7D5E6CF8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0D4999C0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6ED260FC">
      <w:pPr>
        <w:spacing w:line="560" w:lineRule="exact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19EEA585">
      <w:pPr>
        <w:spacing w:line="560" w:lineRule="exact"/>
        <w:outlineLvl w:val="0"/>
        <w:rPr>
          <w:rFonts w:ascii="黑体" w:hAnsi="黑体" w:eastAsia="黑体"/>
          <w:color w:val="000000"/>
          <w:sz w:val="36"/>
          <w:szCs w:val="36"/>
        </w:rPr>
      </w:pPr>
    </w:p>
    <w:p w14:paraId="2E2F9BB4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年高新区国有资本经营收入支出预算情况的</w:t>
      </w:r>
    </w:p>
    <w:p w14:paraId="277234B7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 w14:paraId="344FF1A3"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 w14:paraId="230A872E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高新区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国有资本经营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收支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预算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eastAsia="zh-CN"/>
        </w:rPr>
        <w:t>。</w:t>
      </w:r>
      <w:bookmarkStart w:id="0" w:name="_GoBack"/>
      <w:bookmarkEnd w:id="0"/>
    </w:p>
    <w:p w14:paraId="140FFBE2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0CA3CC74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1ADAB455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04CC50D6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5CD46510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2DCFFE82">
      <w:pPr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</w:pPr>
    </w:p>
    <w:p w14:paraId="1C1466E9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80A8AB3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968595B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6904B14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8A77207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6444490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4DA49D9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B649D0D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A8B41C1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A41BF0B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54D62390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406305E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5027ABCD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关于2024年高新区社会保险基金</w:t>
      </w:r>
    </w:p>
    <w:p w14:paraId="4E95AA5B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收支预算执行情况的说明</w:t>
      </w:r>
    </w:p>
    <w:p w14:paraId="74D1C424">
      <w:pPr>
        <w:spacing w:line="560" w:lineRule="exact"/>
        <w:ind w:firstLine="640" w:firstLineChars="200"/>
        <w:rPr>
          <w:color w:val="000000"/>
          <w:sz w:val="32"/>
          <w:szCs w:val="32"/>
        </w:rPr>
      </w:pPr>
    </w:p>
    <w:p w14:paraId="1341CB20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2024年，高新区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zh-CN"/>
        </w:rPr>
        <w:t>社会保险基金预算收入年初预算1558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zh-CN"/>
        </w:rPr>
        <w:t>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支出预算1331万元。2024年完成收入2058万元,为预算的132%；完成支出1453万元，为支出预算的109%；年末收支结余605万元，滚存结余4796万元。主要项目执行情况是：</w:t>
      </w:r>
    </w:p>
    <w:p w14:paraId="6E25C729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一、社会保险基金收入预算执行情况</w:t>
      </w:r>
    </w:p>
    <w:p w14:paraId="34A32838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城乡居民基本养老保险基金收入2058万元，为预算的132%，为上年决算数的138%。</w:t>
      </w:r>
    </w:p>
    <w:p w14:paraId="719A77A3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二、社会保险基金支出预算执行情况</w:t>
      </w:r>
    </w:p>
    <w:p w14:paraId="590D8060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城乡居民基本养老保险基金支出1453万元，为预算的109%，为上年决算数的115%。</w:t>
      </w:r>
    </w:p>
    <w:p w14:paraId="6F5895D2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66E94E9B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59344997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12B4A2F1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4A8F6ADE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5D5E8BEB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4EE0BBFD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5285831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54AD203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</w:p>
    <w:p w14:paraId="2BC69D5F"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 w14:paraId="2D04411F"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 w14:paraId="772E375E"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年高新区社会保险基金收支预算情况的说明</w:t>
      </w:r>
    </w:p>
    <w:p w14:paraId="59E4C0CA">
      <w:pPr>
        <w:snapToGrid w:val="0"/>
        <w:spacing w:line="560" w:lineRule="exact"/>
        <w:ind w:firstLine="615"/>
        <w:rPr>
          <w:rFonts w:ascii="黑体" w:eastAsia="黑体"/>
          <w:color w:val="000000"/>
          <w:sz w:val="32"/>
          <w:szCs w:val="32"/>
        </w:rPr>
      </w:pPr>
    </w:p>
    <w:p w14:paraId="1BC0A752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一、编制原则</w:t>
      </w:r>
    </w:p>
    <w:p w14:paraId="52C53E81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区本级社会保险基金预算单独编报，与一般公共预算、政府性基金预算和国有资本经营预算相对独立，有机衔接。编制的总体原则是“统筹兼顾、收支平衡”。</w:t>
      </w:r>
    </w:p>
    <w:p w14:paraId="6C671677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二、编报范围</w:t>
      </w:r>
    </w:p>
    <w:p w14:paraId="357501AA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年，区级社会保险基金预算编制范围仅包括城乡居民基本养老保险基金。</w:t>
      </w:r>
    </w:p>
    <w:p w14:paraId="6C454B1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三、收入预算编制情况</w:t>
      </w:r>
    </w:p>
    <w:p w14:paraId="1CE4F59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社会保险基金预算收入主要包括保险缴费收入、财政补贴收入、利息收入、上级补助收入、转移收入和其他收入。202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年区级社会保险基金预算收入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2121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万元，各项保险基金收入情况是：城乡居民基本养老保险基金收入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2121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万元，其中个人缴费收入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388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3A45C02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四、支出预算编制情况</w:t>
      </w:r>
    </w:p>
    <w:p w14:paraId="31B8ABE0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年区本级社会保险基金支出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1593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万元,各项保险基金支出情况是：城乡居民基本养老保险基金支出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1593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万元，其中基础养老金支出1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451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万元。</w:t>
      </w:r>
    </w:p>
    <w:p w14:paraId="7ABF5CD1">
      <w:pPr>
        <w:spacing w:line="560" w:lineRule="exact"/>
        <w:jc w:val="center"/>
        <w:outlineLvl w:val="0"/>
        <w:rPr>
          <w:rFonts w:ascii="仿宋_GB2312" w:eastAsia="仿宋_GB2312"/>
          <w:color w:val="000000"/>
          <w:sz w:val="32"/>
          <w:szCs w:val="32"/>
        </w:rPr>
      </w:pPr>
    </w:p>
    <w:p w14:paraId="6773AB12">
      <w:pPr>
        <w:spacing w:line="560" w:lineRule="exact"/>
        <w:jc w:val="center"/>
        <w:outlineLvl w:val="0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start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A63099-F4FE-48FF-AE75-40B438EF83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B1B8F3-B2A1-4A57-AB18-52ADAF348B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3EACEA6-7094-462A-9B2F-38A749AAA0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79CBE7-5CB2-43CB-A11E-C3E3959E9C7F}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E28CCAB6-39A5-431B-914A-7E7A790ED0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D00C">
    <w:pPr>
      <w:pStyle w:val="5"/>
      <w:framePr w:wrap="around" w:vAnchor="text" w:hAnchor="margin" w:xAlign="right" w:y="1"/>
      <w:rPr>
        <w:rStyle w:val="9"/>
      </w:rPr>
    </w:pPr>
  </w:p>
  <w:p w14:paraId="6ED1201D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D655A"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D741388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EE29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YzUwNjM2MzIwYTNhNjEzY2Y4YWU2NDZiNjNmYTEifQ=="/>
  </w:docVars>
  <w:rsids>
    <w:rsidRoot w:val="00E96696"/>
    <w:rsid w:val="00005A3C"/>
    <w:rsid w:val="0000651A"/>
    <w:rsid w:val="000131C6"/>
    <w:rsid w:val="000133A7"/>
    <w:rsid w:val="00021781"/>
    <w:rsid w:val="00021B53"/>
    <w:rsid w:val="000225A7"/>
    <w:rsid w:val="000309A7"/>
    <w:rsid w:val="00033261"/>
    <w:rsid w:val="0003753E"/>
    <w:rsid w:val="0004067C"/>
    <w:rsid w:val="00040960"/>
    <w:rsid w:val="00043EF4"/>
    <w:rsid w:val="000503B9"/>
    <w:rsid w:val="000539CD"/>
    <w:rsid w:val="000678E9"/>
    <w:rsid w:val="00082EDD"/>
    <w:rsid w:val="00092F00"/>
    <w:rsid w:val="000942D5"/>
    <w:rsid w:val="00094718"/>
    <w:rsid w:val="00097EF9"/>
    <w:rsid w:val="000A4BC1"/>
    <w:rsid w:val="000A4D2E"/>
    <w:rsid w:val="000A5147"/>
    <w:rsid w:val="000A563F"/>
    <w:rsid w:val="000A67FB"/>
    <w:rsid w:val="000A7F4F"/>
    <w:rsid w:val="000B3BD9"/>
    <w:rsid w:val="000B45B8"/>
    <w:rsid w:val="000C2AFC"/>
    <w:rsid w:val="000D4BFC"/>
    <w:rsid w:val="000D5891"/>
    <w:rsid w:val="000D7F0A"/>
    <w:rsid w:val="000E0857"/>
    <w:rsid w:val="000F4636"/>
    <w:rsid w:val="000F58A6"/>
    <w:rsid w:val="000F7BF3"/>
    <w:rsid w:val="00100C06"/>
    <w:rsid w:val="0010297D"/>
    <w:rsid w:val="00105BBA"/>
    <w:rsid w:val="00121475"/>
    <w:rsid w:val="0012218B"/>
    <w:rsid w:val="00126DE7"/>
    <w:rsid w:val="00131D23"/>
    <w:rsid w:val="00137DBD"/>
    <w:rsid w:val="00141DD0"/>
    <w:rsid w:val="00142128"/>
    <w:rsid w:val="00143582"/>
    <w:rsid w:val="00146ED7"/>
    <w:rsid w:val="0015129E"/>
    <w:rsid w:val="00160385"/>
    <w:rsid w:val="00162589"/>
    <w:rsid w:val="001679E3"/>
    <w:rsid w:val="001724B6"/>
    <w:rsid w:val="0017649E"/>
    <w:rsid w:val="00176652"/>
    <w:rsid w:val="00177894"/>
    <w:rsid w:val="00182AC8"/>
    <w:rsid w:val="00194584"/>
    <w:rsid w:val="00197746"/>
    <w:rsid w:val="001A0384"/>
    <w:rsid w:val="001A7E82"/>
    <w:rsid w:val="001B3D35"/>
    <w:rsid w:val="001C5825"/>
    <w:rsid w:val="001C6773"/>
    <w:rsid w:val="001C69C5"/>
    <w:rsid w:val="001C7962"/>
    <w:rsid w:val="001D2488"/>
    <w:rsid w:val="001D3E31"/>
    <w:rsid w:val="001D43EA"/>
    <w:rsid w:val="001D72F4"/>
    <w:rsid w:val="001F3B7D"/>
    <w:rsid w:val="0020153F"/>
    <w:rsid w:val="0020392C"/>
    <w:rsid w:val="00211FA8"/>
    <w:rsid w:val="002134B9"/>
    <w:rsid w:val="002274CC"/>
    <w:rsid w:val="002300D7"/>
    <w:rsid w:val="0023412E"/>
    <w:rsid w:val="002375C8"/>
    <w:rsid w:val="00243280"/>
    <w:rsid w:val="00244A4F"/>
    <w:rsid w:val="00250D23"/>
    <w:rsid w:val="0025278A"/>
    <w:rsid w:val="002528CA"/>
    <w:rsid w:val="00253AFA"/>
    <w:rsid w:val="0025550C"/>
    <w:rsid w:val="00255AF2"/>
    <w:rsid w:val="002605DE"/>
    <w:rsid w:val="00263379"/>
    <w:rsid w:val="00265B46"/>
    <w:rsid w:val="00267AF8"/>
    <w:rsid w:val="00277CB2"/>
    <w:rsid w:val="00277CE1"/>
    <w:rsid w:val="002804D6"/>
    <w:rsid w:val="00283C75"/>
    <w:rsid w:val="00286CC3"/>
    <w:rsid w:val="00295AFC"/>
    <w:rsid w:val="002A71D1"/>
    <w:rsid w:val="002B2C2A"/>
    <w:rsid w:val="002B4A46"/>
    <w:rsid w:val="002C58B0"/>
    <w:rsid w:val="002C6C86"/>
    <w:rsid w:val="002D2A4C"/>
    <w:rsid w:val="002D3896"/>
    <w:rsid w:val="002D4FAE"/>
    <w:rsid w:val="002E659C"/>
    <w:rsid w:val="002E673F"/>
    <w:rsid w:val="002F1B5E"/>
    <w:rsid w:val="002F287E"/>
    <w:rsid w:val="002F30EB"/>
    <w:rsid w:val="002F5C3E"/>
    <w:rsid w:val="003003FC"/>
    <w:rsid w:val="00301ADA"/>
    <w:rsid w:val="00302565"/>
    <w:rsid w:val="003123AE"/>
    <w:rsid w:val="00317C5C"/>
    <w:rsid w:val="00322F41"/>
    <w:rsid w:val="0032716F"/>
    <w:rsid w:val="00337ECE"/>
    <w:rsid w:val="003553B3"/>
    <w:rsid w:val="00356E5E"/>
    <w:rsid w:val="00356FE7"/>
    <w:rsid w:val="00357967"/>
    <w:rsid w:val="00360095"/>
    <w:rsid w:val="00363DC7"/>
    <w:rsid w:val="00364524"/>
    <w:rsid w:val="00364E48"/>
    <w:rsid w:val="00366236"/>
    <w:rsid w:val="00367F1D"/>
    <w:rsid w:val="00383145"/>
    <w:rsid w:val="0038595B"/>
    <w:rsid w:val="003936CC"/>
    <w:rsid w:val="00396082"/>
    <w:rsid w:val="003A0BD8"/>
    <w:rsid w:val="003C0707"/>
    <w:rsid w:val="003C19F0"/>
    <w:rsid w:val="003C2D74"/>
    <w:rsid w:val="003D4C64"/>
    <w:rsid w:val="003E21DD"/>
    <w:rsid w:val="003E77D7"/>
    <w:rsid w:val="003F0678"/>
    <w:rsid w:val="003F0FE0"/>
    <w:rsid w:val="003F58E4"/>
    <w:rsid w:val="003F612D"/>
    <w:rsid w:val="003F6E48"/>
    <w:rsid w:val="0040575F"/>
    <w:rsid w:val="00415A2B"/>
    <w:rsid w:val="0042128C"/>
    <w:rsid w:val="0043070D"/>
    <w:rsid w:val="00431B3F"/>
    <w:rsid w:val="004320C4"/>
    <w:rsid w:val="00434050"/>
    <w:rsid w:val="00443FF1"/>
    <w:rsid w:val="00446AC5"/>
    <w:rsid w:val="00447A55"/>
    <w:rsid w:val="00453A91"/>
    <w:rsid w:val="0045480C"/>
    <w:rsid w:val="004572A2"/>
    <w:rsid w:val="00461DFD"/>
    <w:rsid w:val="00462CDD"/>
    <w:rsid w:val="00464B5D"/>
    <w:rsid w:val="0046686D"/>
    <w:rsid w:val="0047040B"/>
    <w:rsid w:val="00470AD5"/>
    <w:rsid w:val="004914CF"/>
    <w:rsid w:val="004A11C1"/>
    <w:rsid w:val="004A14E7"/>
    <w:rsid w:val="004A68A9"/>
    <w:rsid w:val="004A6D1C"/>
    <w:rsid w:val="004B1D54"/>
    <w:rsid w:val="004B277D"/>
    <w:rsid w:val="004B3814"/>
    <w:rsid w:val="004B6E73"/>
    <w:rsid w:val="004C3F2A"/>
    <w:rsid w:val="004C775D"/>
    <w:rsid w:val="004D6882"/>
    <w:rsid w:val="004E00B5"/>
    <w:rsid w:val="004E1B9E"/>
    <w:rsid w:val="004E5D17"/>
    <w:rsid w:val="004E5E3E"/>
    <w:rsid w:val="004F5EE8"/>
    <w:rsid w:val="00501040"/>
    <w:rsid w:val="00503EB4"/>
    <w:rsid w:val="00504AB5"/>
    <w:rsid w:val="00510CB6"/>
    <w:rsid w:val="00511B09"/>
    <w:rsid w:val="00513778"/>
    <w:rsid w:val="00520A7A"/>
    <w:rsid w:val="0052199E"/>
    <w:rsid w:val="00534007"/>
    <w:rsid w:val="00535CE7"/>
    <w:rsid w:val="0053731F"/>
    <w:rsid w:val="00550D47"/>
    <w:rsid w:val="00557982"/>
    <w:rsid w:val="00560480"/>
    <w:rsid w:val="005614AE"/>
    <w:rsid w:val="00562913"/>
    <w:rsid w:val="00574429"/>
    <w:rsid w:val="005769FF"/>
    <w:rsid w:val="00581573"/>
    <w:rsid w:val="0058492B"/>
    <w:rsid w:val="005868AB"/>
    <w:rsid w:val="0058700B"/>
    <w:rsid w:val="005904E0"/>
    <w:rsid w:val="00594731"/>
    <w:rsid w:val="005A0AF5"/>
    <w:rsid w:val="005A3FEC"/>
    <w:rsid w:val="005A4A0E"/>
    <w:rsid w:val="005A54CF"/>
    <w:rsid w:val="005B1146"/>
    <w:rsid w:val="005B1268"/>
    <w:rsid w:val="005B3860"/>
    <w:rsid w:val="005B5900"/>
    <w:rsid w:val="005B7596"/>
    <w:rsid w:val="005B7B71"/>
    <w:rsid w:val="005C027D"/>
    <w:rsid w:val="005C6469"/>
    <w:rsid w:val="005C66FD"/>
    <w:rsid w:val="005C79F9"/>
    <w:rsid w:val="005D5846"/>
    <w:rsid w:val="005D5AFB"/>
    <w:rsid w:val="005E298B"/>
    <w:rsid w:val="005E565B"/>
    <w:rsid w:val="005F23EA"/>
    <w:rsid w:val="005F2B24"/>
    <w:rsid w:val="0060445F"/>
    <w:rsid w:val="00616D0B"/>
    <w:rsid w:val="00626971"/>
    <w:rsid w:val="00627F56"/>
    <w:rsid w:val="00644E78"/>
    <w:rsid w:val="00650591"/>
    <w:rsid w:val="00656F5A"/>
    <w:rsid w:val="00666237"/>
    <w:rsid w:val="00671EED"/>
    <w:rsid w:val="0068058B"/>
    <w:rsid w:val="00684B0F"/>
    <w:rsid w:val="00687A6B"/>
    <w:rsid w:val="00690D2B"/>
    <w:rsid w:val="00691671"/>
    <w:rsid w:val="00695DE8"/>
    <w:rsid w:val="006A17A5"/>
    <w:rsid w:val="006A6901"/>
    <w:rsid w:val="006A6CBB"/>
    <w:rsid w:val="006C25F3"/>
    <w:rsid w:val="006C4CD1"/>
    <w:rsid w:val="006C7008"/>
    <w:rsid w:val="006D448F"/>
    <w:rsid w:val="006D69BC"/>
    <w:rsid w:val="006E077B"/>
    <w:rsid w:val="006E44D8"/>
    <w:rsid w:val="006E5037"/>
    <w:rsid w:val="006F7856"/>
    <w:rsid w:val="007055D4"/>
    <w:rsid w:val="0070653A"/>
    <w:rsid w:val="007117B2"/>
    <w:rsid w:val="00712C24"/>
    <w:rsid w:val="00724A3B"/>
    <w:rsid w:val="00730AEA"/>
    <w:rsid w:val="0073128E"/>
    <w:rsid w:val="00733C9A"/>
    <w:rsid w:val="00751669"/>
    <w:rsid w:val="00752C35"/>
    <w:rsid w:val="00752CEF"/>
    <w:rsid w:val="00764E5A"/>
    <w:rsid w:val="0077239B"/>
    <w:rsid w:val="0077459D"/>
    <w:rsid w:val="00774AB1"/>
    <w:rsid w:val="00774DD1"/>
    <w:rsid w:val="00776FA9"/>
    <w:rsid w:val="00777ACB"/>
    <w:rsid w:val="007823C9"/>
    <w:rsid w:val="007853B2"/>
    <w:rsid w:val="007872FF"/>
    <w:rsid w:val="007A7678"/>
    <w:rsid w:val="007B1B94"/>
    <w:rsid w:val="007B4E7D"/>
    <w:rsid w:val="007C49CC"/>
    <w:rsid w:val="007D4AC0"/>
    <w:rsid w:val="007E2E13"/>
    <w:rsid w:val="007F79DC"/>
    <w:rsid w:val="008035BB"/>
    <w:rsid w:val="008046E8"/>
    <w:rsid w:val="00806989"/>
    <w:rsid w:val="00807D88"/>
    <w:rsid w:val="00811EA8"/>
    <w:rsid w:val="008159CF"/>
    <w:rsid w:val="0081779E"/>
    <w:rsid w:val="0082468E"/>
    <w:rsid w:val="008300F6"/>
    <w:rsid w:val="00830EC7"/>
    <w:rsid w:val="00832B39"/>
    <w:rsid w:val="008354F4"/>
    <w:rsid w:val="00836125"/>
    <w:rsid w:val="008378C6"/>
    <w:rsid w:val="00842B9A"/>
    <w:rsid w:val="00845C36"/>
    <w:rsid w:val="00851C66"/>
    <w:rsid w:val="00852620"/>
    <w:rsid w:val="00857FF6"/>
    <w:rsid w:val="00860DD0"/>
    <w:rsid w:val="00864890"/>
    <w:rsid w:val="00864D27"/>
    <w:rsid w:val="00865621"/>
    <w:rsid w:val="008672DF"/>
    <w:rsid w:val="008674EB"/>
    <w:rsid w:val="00875CE3"/>
    <w:rsid w:val="00887911"/>
    <w:rsid w:val="00892047"/>
    <w:rsid w:val="008929B1"/>
    <w:rsid w:val="00894FA5"/>
    <w:rsid w:val="00895F8A"/>
    <w:rsid w:val="008A21F5"/>
    <w:rsid w:val="008B14AE"/>
    <w:rsid w:val="008B244A"/>
    <w:rsid w:val="008B245E"/>
    <w:rsid w:val="008B365B"/>
    <w:rsid w:val="008B3B99"/>
    <w:rsid w:val="008B6F16"/>
    <w:rsid w:val="008C0C4A"/>
    <w:rsid w:val="008C319F"/>
    <w:rsid w:val="008C7172"/>
    <w:rsid w:val="008D0572"/>
    <w:rsid w:val="008D4656"/>
    <w:rsid w:val="008D586C"/>
    <w:rsid w:val="008E7021"/>
    <w:rsid w:val="008F0433"/>
    <w:rsid w:val="008F3B40"/>
    <w:rsid w:val="008F7179"/>
    <w:rsid w:val="008F7FDC"/>
    <w:rsid w:val="009105A0"/>
    <w:rsid w:val="00921FCF"/>
    <w:rsid w:val="009238C2"/>
    <w:rsid w:val="00925C8B"/>
    <w:rsid w:val="0093013D"/>
    <w:rsid w:val="00930D0A"/>
    <w:rsid w:val="00944260"/>
    <w:rsid w:val="00944C56"/>
    <w:rsid w:val="00952D2C"/>
    <w:rsid w:val="009545D0"/>
    <w:rsid w:val="00965850"/>
    <w:rsid w:val="00965D82"/>
    <w:rsid w:val="009713F0"/>
    <w:rsid w:val="00987BF6"/>
    <w:rsid w:val="00997552"/>
    <w:rsid w:val="009A4491"/>
    <w:rsid w:val="009A498F"/>
    <w:rsid w:val="009A52ED"/>
    <w:rsid w:val="009B5DE7"/>
    <w:rsid w:val="009C5BE7"/>
    <w:rsid w:val="009C7D4C"/>
    <w:rsid w:val="009D16F2"/>
    <w:rsid w:val="009D4F18"/>
    <w:rsid w:val="009D7E3F"/>
    <w:rsid w:val="009D7EC3"/>
    <w:rsid w:val="009E09AD"/>
    <w:rsid w:val="009E0FF8"/>
    <w:rsid w:val="009E33E1"/>
    <w:rsid w:val="009E4B22"/>
    <w:rsid w:val="009F1EEC"/>
    <w:rsid w:val="009F53ED"/>
    <w:rsid w:val="009F66EB"/>
    <w:rsid w:val="00A0243E"/>
    <w:rsid w:val="00A02D61"/>
    <w:rsid w:val="00A20AE8"/>
    <w:rsid w:val="00A23970"/>
    <w:rsid w:val="00A35A03"/>
    <w:rsid w:val="00A460DE"/>
    <w:rsid w:val="00A500D1"/>
    <w:rsid w:val="00A50730"/>
    <w:rsid w:val="00A51226"/>
    <w:rsid w:val="00A6732C"/>
    <w:rsid w:val="00A6754C"/>
    <w:rsid w:val="00A70CAA"/>
    <w:rsid w:val="00A775A5"/>
    <w:rsid w:val="00A87F35"/>
    <w:rsid w:val="00A91DB7"/>
    <w:rsid w:val="00A92F91"/>
    <w:rsid w:val="00A9423F"/>
    <w:rsid w:val="00A9582B"/>
    <w:rsid w:val="00A965F8"/>
    <w:rsid w:val="00AA13DA"/>
    <w:rsid w:val="00AA15C2"/>
    <w:rsid w:val="00AA292A"/>
    <w:rsid w:val="00AA6F33"/>
    <w:rsid w:val="00AB0DA7"/>
    <w:rsid w:val="00AC1ED8"/>
    <w:rsid w:val="00AC2B34"/>
    <w:rsid w:val="00AC5944"/>
    <w:rsid w:val="00AD2179"/>
    <w:rsid w:val="00AD4BCF"/>
    <w:rsid w:val="00AD4C7A"/>
    <w:rsid w:val="00AD7564"/>
    <w:rsid w:val="00AD75D4"/>
    <w:rsid w:val="00AE1C9A"/>
    <w:rsid w:val="00AE388E"/>
    <w:rsid w:val="00AF0EB2"/>
    <w:rsid w:val="00AF7F5F"/>
    <w:rsid w:val="00B0121A"/>
    <w:rsid w:val="00B012CE"/>
    <w:rsid w:val="00B02643"/>
    <w:rsid w:val="00B06FAE"/>
    <w:rsid w:val="00B07664"/>
    <w:rsid w:val="00B118D5"/>
    <w:rsid w:val="00B11D0D"/>
    <w:rsid w:val="00B131B2"/>
    <w:rsid w:val="00B20CE9"/>
    <w:rsid w:val="00B27DBA"/>
    <w:rsid w:val="00B32B81"/>
    <w:rsid w:val="00B33BB4"/>
    <w:rsid w:val="00B371BE"/>
    <w:rsid w:val="00B416A5"/>
    <w:rsid w:val="00B5578D"/>
    <w:rsid w:val="00B65A1C"/>
    <w:rsid w:val="00B83BF4"/>
    <w:rsid w:val="00B857A6"/>
    <w:rsid w:val="00B862FE"/>
    <w:rsid w:val="00B87ADC"/>
    <w:rsid w:val="00B87F4C"/>
    <w:rsid w:val="00B944D0"/>
    <w:rsid w:val="00B963D7"/>
    <w:rsid w:val="00BA501A"/>
    <w:rsid w:val="00BA517E"/>
    <w:rsid w:val="00BA59C0"/>
    <w:rsid w:val="00BB2693"/>
    <w:rsid w:val="00BB6B72"/>
    <w:rsid w:val="00BC02BC"/>
    <w:rsid w:val="00BC076F"/>
    <w:rsid w:val="00BC2C7E"/>
    <w:rsid w:val="00BC43CC"/>
    <w:rsid w:val="00BD2373"/>
    <w:rsid w:val="00BD65EB"/>
    <w:rsid w:val="00BE03C6"/>
    <w:rsid w:val="00BE0927"/>
    <w:rsid w:val="00BE244C"/>
    <w:rsid w:val="00BE699D"/>
    <w:rsid w:val="00BE704B"/>
    <w:rsid w:val="00BF5130"/>
    <w:rsid w:val="00C025F7"/>
    <w:rsid w:val="00C05665"/>
    <w:rsid w:val="00C16C1B"/>
    <w:rsid w:val="00C219B1"/>
    <w:rsid w:val="00C22F3D"/>
    <w:rsid w:val="00C23572"/>
    <w:rsid w:val="00C319E9"/>
    <w:rsid w:val="00C4350A"/>
    <w:rsid w:val="00C529E8"/>
    <w:rsid w:val="00C602B8"/>
    <w:rsid w:val="00C6744E"/>
    <w:rsid w:val="00C77BA5"/>
    <w:rsid w:val="00C8470B"/>
    <w:rsid w:val="00C84EED"/>
    <w:rsid w:val="00C879CB"/>
    <w:rsid w:val="00C91C82"/>
    <w:rsid w:val="00C9358D"/>
    <w:rsid w:val="00CA09AE"/>
    <w:rsid w:val="00CA4441"/>
    <w:rsid w:val="00CA4CF9"/>
    <w:rsid w:val="00CC0E6A"/>
    <w:rsid w:val="00CC6F9E"/>
    <w:rsid w:val="00CD3034"/>
    <w:rsid w:val="00CD368A"/>
    <w:rsid w:val="00CE04BA"/>
    <w:rsid w:val="00CE56F7"/>
    <w:rsid w:val="00CF04CE"/>
    <w:rsid w:val="00CF1093"/>
    <w:rsid w:val="00D11485"/>
    <w:rsid w:val="00D171A8"/>
    <w:rsid w:val="00D24B3C"/>
    <w:rsid w:val="00D30042"/>
    <w:rsid w:val="00D3365B"/>
    <w:rsid w:val="00D35550"/>
    <w:rsid w:val="00D425FB"/>
    <w:rsid w:val="00D42AE0"/>
    <w:rsid w:val="00D46321"/>
    <w:rsid w:val="00D51C9F"/>
    <w:rsid w:val="00D53600"/>
    <w:rsid w:val="00D54539"/>
    <w:rsid w:val="00D61490"/>
    <w:rsid w:val="00D6559C"/>
    <w:rsid w:val="00D67354"/>
    <w:rsid w:val="00D71063"/>
    <w:rsid w:val="00D71F02"/>
    <w:rsid w:val="00D74717"/>
    <w:rsid w:val="00D7581B"/>
    <w:rsid w:val="00D81148"/>
    <w:rsid w:val="00D813CD"/>
    <w:rsid w:val="00D848FF"/>
    <w:rsid w:val="00D85F29"/>
    <w:rsid w:val="00D863B1"/>
    <w:rsid w:val="00D876BE"/>
    <w:rsid w:val="00DA0EBA"/>
    <w:rsid w:val="00DA7147"/>
    <w:rsid w:val="00DB0EC1"/>
    <w:rsid w:val="00DB47C0"/>
    <w:rsid w:val="00DB4ACE"/>
    <w:rsid w:val="00DB5FAC"/>
    <w:rsid w:val="00DC5D77"/>
    <w:rsid w:val="00DC65D0"/>
    <w:rsid w:val="00DD0608"/>
    <w:rsid w:val="00DE43AC"/>
    <w:rsid w:val="00DE5975"/>
    <w:rsid w:val="00DF211B"/>
    <w:rsid w:val="00DF2F89"/>
    <w:rsid w:val="00DF5238"/>
    <w:rsid w:val="00DF60A1"/>
    <w:rsid w:val="00DF7C67"/>
    <w:rsid w:val="00E04B4D"/>
    <w:rsid w:val="00E0691D"/>
    <w:rsid w:val="00E12508"/>
    <w:rsid w:val="00E14C5F"/>
    <w:rsid w:val="00E177C8"/>
    <w:rsid w:val="00E2018F"/>
    <w:rsid w:val="00E20309"/>
    <w:rsid w:val="00E21B9B"/>
    <w:rsid w:val="00E25126"/>
    <w:rsid w:val="00E30C51"/>
    <w:rsid w:val="00E323B3"/>
    <w:rsid w:val="00E37855"/>
    <w:rsid w:val="00E41424"/>
    <w:rsid w:val="00E41CB6"/>
    <w:rsid w:val="00E420F4"/>
    <w:rsid w:val="00E47087"/>
    <w:rsid w:val="00E51156"/>
    <w:rsid w:val="00E51A46"/>
    <w:rsid w:val="00E52B57"/>
    <w:rsid w:val="00E52DBB"/>
    <w:rsid w:val="00E55977"/>
    <w:rsid w:val="00E642B3"/>
    <w:rsid w:val="00E70296"/>
    <w:rsid w:val="00E70C37"/>
    <w:rsid w:val="00E778F2"/>
    <w:rsid w:val="00E807C8"/>
    <w:rsid w:val="00E874FD"/>
    <w:rsid w:val="00E91291"/>
    <w:rsid w:val="00E96696"/>
    <w:rsid w:val="00E97796"/>
    <w:rsid w:val="00EA3F84"/>
    <w:rsid w:val="00EA6A5A"/>
    <w:rsid w:val="00EB1A91"/>
    <w:rsid w:val="00EB1C36"/>
    <w:rsid w:val="00EB26CB"/>
    <w:rsid w:val="00EB3356"/>
    <w:rsid w:val="00ED5767"/>
    <w:rsid w:val="00ED6266"/>
    <w:rsid w:val="00EE5C25"/>
    <w:rsid w:val="00EE5D3C"/>
    <w:rsid w:val="00EF2D2C"/>
    <w:rsid w:val="00EF626E"/>
    <w:rsid w:val="00F02FB1"/>
    <w:rsid w:val="00F03D3B"/>
    <w:rsid w:val="00F12F11"/>
    <w:rsid w:val="00F15238"/>
    <w:rsid w:val="00F154B1"/>
    <w:rsid w:val="00F1609E"/>
    <w:rsid w:val="00F20F45"/>
    <w:rsid w:val="00F24F3D"/>
    <w:rsid w:val="00F31D46"/>
    <w:rsid w:val="00F37C13"/>
    <w:rsid w:val="00F40263"/>
    <w:rsid w:val="00F42A16"/>
    <w:rsid w:val="00F46FED"/>
    <w:rsid w:val="00F50A52"/>
    <w:rsid w:val="00F57B30"/>
    <w:rsid w:val="00F657C6"/>
    <w:rsid w:val="00F72B96"/>
    <w:rsid w:val="00F739F6"/>
    <w:rsid w:val="00F7721E"/>
    <w:rsid w:val="00F80D18"/>
    <w:rsid w:val="00F82A09"/>
    <w:rsid w:val="00FB5500"/>
    <w:rsid w:val="00FC310A"/>
    <w:rsid w:val="00FC56E6"/>
    <w:rsid w:val="00FC584C"/>
    <w:rsid w:val="00FC6342"/>
    <w:rsid w:val="00FE2183"/>
    <w:rsid w:val="00FE3E4E"/>
    <w:rsid w:val="00FE796C"/>
    <w:rsid w:val="00FF20FF"/>
    <w:rsid w:val="00FF44E8"/>
    <w:rsid w:val="01D07E0E"/>
    <w:rsid w:val="01D31697"/>
    <w:rsid w:val="027957CF"/>
    <w:rsid w:val="02C208E5"/>
    <w:rsid w:val="034842A4"/>
    <w:rsid w:val="034B3767"/>
    <w:rsid w:val="063201C0"/>
    <w:rsid w:val="067E1DDA"/>
    <w:rsid w:val="06D93206"/>
    <w:rsid w:val="08277523"/>
    <w:rsid w:val="08840259"/>
    <w:rsid w:val="094975F9"/>
    <w:rsid w:val="094A48A5"/>
    <w:rsid w:val="095E7F7C"/>
    <w:rsid w:val="09D75EB4"/>
    <w:rsid w:val="0A2313D9"/>
    <w:rsid w:val="0B0A66F6"/>
    <w:rsid w:val="0B1E5187"/>
    <w:rsid w:val="0D0B12BC"/>
    <w:rsid w:val="0D3008A5"/>
    <w:rsid w:val="0D9F7AE4"/>
    <w:rsid w:val="0DBD4F59"/>
    <w:rsid w:val="0E62151E"/>
    <w:rsid w:val="0EDF6A16"/>
    <w:rsid w:val="0F5F30AA"/>
    <w:rsid w:val="0F7E6B45"/>
    <w:rsid w:val="100B1753"/>
    <w:rsid w:val="10B0455E"/>
    <w:rsid w:val="111F5493"/>
    <w:rsid w:val="11226693"/>
    <w:rsid w:val="11587BC7"/>
    <w:rsid w:val="12C1661A"/>
    <w:rsid w:val="132705F8"/>
    <w:rsid w:val="13A57E53"/>
    <w:rsid w:val="14063438"/>
    <w:rsid w:val="14523F1E"/>
    <w:rsid w:val="14604E15"/>
    <w:rsid w:val="14823557"/>
    <w:rsid w:val="14CE1D56"/>
    <w:rsid w:val="14ED5DC4"/>
    <w:rsid w:val="14FB7785"/>
    <w:rsid w:val="15972265"/>
    <w:rsid w:val="15EE15D4"/>
    <w:rsid w:val="161135CD"/>
    <w:rsid w:val="161E1E3C"/>
    <w:rsid w:val="16380091"/>
    <w:rsid w:val="16455694"/>
    <w:rsid w:val="16A853CC"/>
    <w:rsid w:val="16BE01F2"/>
    <w:rsid w:val="183704DE"/>
    <w:rsid w:val="18E62924"/>
    <w:rsid w:val="19EC665F"/>
    <w:rsid w:val="19EF68BC"/>
    <w:rsid w:val="1AC042DA"/>
    <w:rsid w:val="1ACA28E8"/>
    <w:rsid w:val="1B24009C"/>
    <w:rsid w:val="1BDE37FF"/>
    <w:rsid w:val="1C844E3C"/>
    <w:rsid w:val="1CA0714C"/>
    <w:rsid w:val="1CC62877"/>
    <w:rsid w:val="1DE211DA"/>
    <w:rsid w:val="1DE50B42"/>
    <w:rsid w:val="1DF51978"/>
    <w:rsid w:val="1EEA566D"/>
    <w:rsid w:val="1FA51369"/>
    <w:rsid w:val="1FEF6AC7"/>
    <w:rsid w:val="207149A4"/>
    <w:rsid w:val="20B569E1"/>
    <w:rsid w:val="215923BC"/>
    <w:rsid w:val="21951551"/>
    <w:rsid w:val="21952920"/>
    <w:rsid w:val="21AA5316"/>
    <w:rsid w:val="21F41A93"/>
    <w:rsid w:val="225F5B19"/>
    <w:rsid w:val="22CF46D8"/>
    <w:rsid w:val="22F15352"/>
    <w:rsid w:val="232B2304"/>
    <w:rsid w:val="24037EFF"/>
    <w:rsid w:val="246064F4"/>
    <w:rsid w:val="249E25F8"/>
    <w:rsid w:val="256454B9"/>
    <w:rsid w:val="260B6F67"/>
    <w:rsid w:val="266729FF"/>
    <w:rsid w:val="27EE10B9"/>
    <w:rsid w:val="28AB6C32"/>
    <w:rsid w:val="29410625"/>
    <w:rsid w:val="29B72E30"/>
    <w:rsid w:val="2A785DEF"/>
    <w:rsid w:val="2AA915F9"/>
    <w:rsid w:val="2AE436FB"/>
    <w:rsid w:val="2AF97FB2"/>
    <w:rsid w:val="2E144F74"/>
    <w:rsid w:val="2E7478F6"/>
    <w:rsid w:val="2ED725A7"/>
    <w:rsid w:val="2F22194F"/>
    <w:rsid w:val="2F732945"/>
    <w:rsid w:val="2F8C72E3"/>
    <w:rsid w:val="2FF35045"/>
    <w:rsid w:val="304A6DE5"/>
    <w:rsid w:val="307737D7"/>
    <w:rsid w:val="307E05A6"/>
    <w:rsid w:val="30A72EC6"/>
    <w:rsid w:val="314B6F87"/>
    <w:rsid w:val="318D6246"/>
    <w:rsid w:val="322D77BD"/>
    <w:rsid w:val="32414017"/>
    <w:rsid w:val="3247068A"/>
    <w:rsid w:val="32C962C6"/>
    <w:rsid w:val="32E952DE"/>
    <w:rsid w:val="341665E5"/>
    <w:rsid w:val="34842858"/>
    <w:rsid w:val="34B135DC"/>
    <w:rsid w:val="3515503B"/>
    <w:rsid w:val="35161CE2"/>
    <w:rsid w:val="355422D8"/>
    <w:rsid w:val="362D68F7"/>
    <w:rsid w:val="36B12398"/>
    <w:rsid w:val="36BE4367"/>
    <w:rsid w:val="36CA411E"/>
    <w:rsid w:val="379D02CC"/>
    <w:rsid w:val="39AF19F6"/>
    <w:rsid w:val="39E15752"/>
    <w:rsid w:val="3A015382"/>
    <w:rsid w:val="3A193463"/>
    <w:rsid w:val="3AD921B5"/>
    <w:rsid w:val="3B2127AC"/>
    <w:rsid w:val="3BCA4ED6"/>
    <w:rsid w:val="3BE42D55"/>
    <w:rsid w:val="3C541124"/>
    <w:rsid w:val="3C9E1C4F"/>
    <w:rsid w:val="3CA12A62"/>
    <w:rsid w:val="3CAF44A8"/>
    <w:rsid w:val="3D5260E3"/>
    <w:rsid w:val="3D59768B"/>
    <w:rsid w:val="3E4C118A"/>
    <w:rsid w:val="3E591C4A"/>
    <w:rsid w:val="3E845940"/>
    <w:rsid w:val="3F900D06"/>
    <w:rsid w:val="3FAF4979"/>
    <w:rsid w:val="406C313B"/>
    <w:rsid w:val="40C1415E"/>
    <w:rsid w:val="4120132C"/>
    <w:rsid w:val="416821D1"/>
    <w:rsid w:val="41D66AF3"/>
    <w:rsid w:val="41E7037B"/>
    <w:rsid w:val="443D5B60"/>
    <w:rsid w:val="447659BC"/>
    <w:rsid w:val="4646249D"/>
    <w:rsid w:val="46F122DF"/>
    <w:rsid w:val="47864D06"/>
    <w:rsid w:val="47F94F7E"/>
    <w:rsid w:val="47F95B59"/>
    <w:rsid w:val="488B56C6"/>
    <w:rsid w:val="49CA1314"/>
    <w:rsid w:val="49F7713A"/>
    <w:rsid w:val="4AB85226"/>
    <w:rsid w:val="4AEA7567"/>
    <w:rsid w:val="4B8261CE"/>
    <w:rsid w:val="4BC62151"/>
    <w:rsid w:val="4C3115F2"/>
    <w:rsid w:val="4C4D295B"/>
    <w:rsid w:val="4C71065E"/>
    <w:rsid w:val="4CA53B8D"/>
    <w:rsid w:val="4D765880"/>
    <w:rsid w:val="4D856B8D"/>
    <w:rsid w:val="4DCE7A36"/>
    <w:rsid w:val="4DCF0243"/>
    <w:rsid w:val="4E0D01D9"/>
    <w:rsid w:val="4EA32D64"/>
    <w:rsid w:val="4EC014B2"/>
    <w:rsid w:val="4EEB2489"/>
    <w:rsid w:val="4F017C15"/>
    <w:rsid w:val="4F334B95"/>
    <w:rsid w:val="50085821"/>
    <w:rsid w:val="50E87D87"/>
    <w:rsid w:val="51B21D8A"/>
    <w:rsid w:val="52DE3780"/>
    <w:rsid w:val="53434E23"/>
    <w:rsid w:val="538748B8"/>
    <w:rsid w:val="53C91313"/>
    <w:rsid w:val="53F07E46"/>
    <w:rsid w:val="5448668E"/>
    <w:rsid w:val="55120BB9"/>
    <w:rsid w:val="55E41CAC"/>
    <w:rsid w:val="569964C1"/>
    <w:rsid w:val="56DC6F9D"/>
    <w:rsid w:val="575456D4"/>
    <w:rsid w:val="576A3327"/>
    <w:rsid w:val="577F7228"/>
    <w:rsid w:val="579922C8"/>
    <w:rsid w:val="57B65496"/>
    <w:rsid w:val="58144560"/>
    <w:rsid w:val="58CD1931"/>
    <w:rsid w:val="5A1B4F45"/>
    <w:rsid w:val="5A610C4A"/>
    <w:rsid w:val="5A735093"/>
    <w:rsid w:val="5A7740F1"/>
    <w:rsid w:val="5AAD77A3"/>
    <w:rsid w:val="5B7A208C"/>
    <w:rsid w:val="5C3A32D8"/>
    <w:rsid w:val="5C823C92"/>
    <w:rsid w:val="5CF71849"/>
    <w:rsid w:val="5D626663"/>
    <w:rsid w:val="5DA44998"/>
    <w:rsid w:val="5DF10D07"/>
    <w:rsid w:val="5E18154B"/>
    <w:rsid w:val="5E791A36"/>
    <w:rsid w:val="5E90005B"/>
    <w:rsid w:val="5EEC447F"/>
    <w:rsid w:val="5F672111"/>
    <w:rsid w:val="5F941790"/>
    <w:rsid w:val="5FCE1B56"/>
    <w:rsid w:val="60093A93"/>
    <w:rsid w:val="602B62CC"/>
    <w:rsid w:val="603B4020"/>
    <w:rsid w:val="60BD1D65"/>
    <w:rsid w:val="61450706"/>
    <w:rsid w:val="62531FDD"/>
    <w:rsid w:val="62D926AC"/>
    <w:rsid w:val="63583DA4"/>
    <w:rsid w:val="675E02F8"/>
    <w:rsid w:val="676C57EC"/>
    <w:rsid w:val="67E255DB"/>
    <w:rsid w:val="67E458A6"/>
    <w:rsid w:val="688D3416"/>
    <w:rsid w:val="68C2696B"/>
    <w:rsid w:val="68CA6467"/>
    <w:rsid w:val="69091907"/>
    <w:rsid w:val="69306FE9"/>
    <w:rsid w:val="6A5F73E0"/>
    <w:rsid w:val="6AD05EEC"/>
    <w:rsid w:val="6CAF39AE"/>
    <w:rsid w:val="6D5F201D"/>
    <w:rsid w:val="6D982CB8"/>
    <w:rsid w:val="6E1F76D2"/>
    <w:rsid w:val="70187FED"/>
    <w:rsid w:val="70CB2D36"/>
    <w:rsid w:val="70F82C91"/>
    <w:rsid w:val="72195106"/>
    <w:rsid w:val="722C289A"/>
    <w:rsid w:val="72D03DF2"/>
    <w:rsid w:val="740B0311"/>
    <w:rsid w:val="74A81BDD"/>
    <w:rsid w:val="74F878AE"/>
    <w:rsid w:val="75CB57D8"/>
    <w:rsid w:val="76AC2445"/>
    <w:rsid w:val="76B25C80"/>
    <w:rsid w:val="77091CCA"/>
    <w:rsid w:val="777D3795"/>
    <w:rsid w:val="77E727B6"/>
    <w:rsid w:val="78ED4231"/>
    <w:rsid w:val="7971271F"/>
    <w:rsid w:val="79A10B19"/>
    <w:rsid w:val="7A0E6563"/>
    <w:rsid w:val="7A225D8D"/>
    <w:rsid w:val="7A7E31D0"/>
    <w:rsid w:val="7A9737E7"/>
    <w:rsid w:val="7C5F53ED"/>
    <w:rsid w:val="7D0A194C"/>
    <w:rsid w:val="7D5D7989"/>
    <w:rsid w:val="7D6244DD"/>
    <w:rsid w:val="7DEC0FA9"/>
    <w:rsid w:val="7E2F35F7"/>
    <w:rsid w:val="7E307B16"/>
    <w:rsid w:val="7F087028"/>
    <w:rsid w:val="7F973F5E"/>
    <w:rsid w:val="7F9D7393"/>
    <w:rsid w:val="7FD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2"/>
    <w:qFormat/>
    <w:uiPriority w:val="99"/>
    <w:pPr>
      <w:jc w:val="left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文档结构图 Char"/>
    <w:basedOn w:val="8"/>
    <w:link w:val="2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批注文字 Char"/>
    <w:basedOn w:val="8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Char Char Char Char Char Char Char"/>
    <w:basedOn w:val="1"/>
    <w:qFormat/>
    <w:uiPriority w:val="99"/>
    <w:rPr>
      <w:szCs w:val="21"/>
    </w:rPr>
  </w:style>
  <w:style w:type="paragraph" w:customStyle="1" w:styleId="17">
    <w:name w:val="Char Char3 Char Char Char Char"/>
    <w:basedOn w:val="1"/>
    <w:qFormat/>
    <w:uiPriority w:val="99"/>
    <w:rPr>
      <w:szCs w:val="21"/>
    </w:rPr>
  </w:style>
  <w:style w:type="paragraph" w:customStyle="1" w:styleId="18">
    <w:name w:val="默认段落字体 Para Char Char Char Char"/>
    <w:basedOn w:val="1"/>
    <w:qFormat/>
    <w:uiPriority w:val="99"/>
    <w:rPr>
      <w:sz w:val="32"/>
      <w:szCs w:val="32"/>
    </w:rPr>
  </w:style>
  <w:style w:type="paragraph" w:customStyle="1" w:styleId="1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3502</Words>
  <Characters>4391</Characters>
  <Lines>9</Lines>
  <Paragraphs>8</Paragraphs>
  <TotalTime>27</TotalTime>
  <ScaleCrop>false</ScaleCrop>
  <LinksUpToDate>false</LinksUpToDate>
  <CharactersWithSpaces>4405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2020-01-14T03:36:00Z</dcterms:created>
  <dc:creator>潘晓琳</dc:creator>
  <cp:lastModifiedBy>张小婧 </cp:lastModifiedBy>
  <cp:lastPrinted>2025-02-08T07:45:00Z</cp:lastPrinted>
  <dcterms:modified xsi:type="dcterms:W3CDTF">2025-03-10T09:06:57Z</dcterms:modified>
  <dc:title>关于2018年高新区一般公共预算收入执行情况的说明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71B97F907B89411181D7D7A3C3097B2B_13</vt:lpwstr>
  </property>
  <property fmtid="{D5CDD505-2E9C-101B-9397-08002B2CF9AE}" pid="4" name="KSOTemplateDocerSaveRecord">
    <vt:lpwstr>eyJoZGlkIjoiZTZkMDU0NWM0ZmM0NGU5ZWI3ZmIzN2ZhYmQ4NmY3ZDYiLCJ1c2VySWQiOiI1MDYwMzg2MTQifQ==</vt:lpwstr>
  </property>
</Properties>
</file>