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BA0381">
      <w:pPr>
        <w:jc w:val="center"/>
        <w:rPr>
          <w:rFonts w:hint="eastAsia" w:ascii="Times New Roman" w:hAnsi="Times New Roman" w:eastAsia="方正小标宋简体" w:cs="方正小标宋简体"/>
          <w:sz w:val="44"/>
          <w:szCs w:val="44"/>
        </w:rPr>
      </w:pPr>
      <w:bookmarkStart w:id="0" w:name="_GoBack"/>
      <w:r>
        <w:rPr>
          <w:rFonts w:hint="eastAsia" w:ascii="Times New Roman" w:hAnsi="Times New Roman" w:eastAsia="方正小标宋简体" w:cs="方正小标宋简体"/>
          <w:sz w:val="44"/>
          <w:szCs w:val="44"/>
        </w:rPr>
        <w:t>平顶山市医疗器械经营综合许可</w:t>
      </w:r>
    </w:p>
    <w:p w14:paraId="1B4C66A5">
      <w:pPr>
        <w:jc w:val="center"/>
        <w:rPr>
          <w:rFonts w:hint="eastAsia"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rPr>
        <w:t>改革实施办法</w:t>
      </w:r>
    </w:p>
    <w:p w14:paraId="717D4D3D">
      <w:pPr>
        <w:rPr>
          <w:rFonts w:hint="eastAsia" w:ascii="Times New Roman" w:hAnsi="Times New Roman"/>
        </w:rPr>
      </w:pPr>
    </w:p>
    <w:p w14:paraId="145B2821">
      <w:pPr>
        <w:rPr>
          <w:rFonts w:hint="eastAsia" w:ascii="Times New Roman" w:hAnsi="Times New Roman"/>
        </w:rPr>
      </w:pPr>
    </w:p>
    <w:p w14:paraId="66731D2E">
      <w:pPr>
        <w:jc w:val="center"/>
        <w:rPr>
          <w:rFonts w:hint="eastAsia" w:ascii="Times New Roman" w:hAnsi="Times New Roman"/>
        </w:rPr>
      </w:pPr>
      <w:r>
        <w:rPr>
          <w:rFonts w:hint="eastAsia" w:ascii="Times New Roman" w:hAnsi="Times New Roman" w:eastAsia="黑体" w:cs="黑体"/>
          <w:sz w:val="30"/>
          <w:szCs w:val="30"/>
        </w:rPr>
        <w:t>第 一 章  总 则</w:t>
      </w:r>
    </w:p>
    <w:p w14:paraId="178908A8">
      <w:pPr>
        <w:rPr>
          <w:rFonts w:hint="eastAsia" w:ascii="Times New Roman" w:hAnsi="Times New Roman"/>
        </w:rPr>
      </w:pPr>
    </w:p>
    <w:p w14:paraId="141AC22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cs="方正仿宋_GB2312"/>
          <w:sz w:val="32"/>
          <w:szCs w:val="32"/>
        </w:rPr>
      </w:pPr>
      <w:r>
        <w:rPr>
          <w:rFonts w:hint="eastAsia" w:ascii="Times New Roman" w:hAnsi="Times New Roman" w:eastAsia="方正仿宋_GB2312" w:cs="方正仿宋_GB2312"/>
          <w:sz w:val="32"/>
          <w:szCs w:val="32"/>
        </w:rPr>
        <w:t>第一条 为深入贯彻落实国务院“放管服”改革精神，持续 推进简政放权、放管结合、优化服务，深化行政审批制度改革， 大幅降低我市医疗器械经营行业准入成本，根据《中华人民共和国行政许可法》、《医疗器械监督管理条例》、《国务院办公厅关于印发全国深化“放管服”改革优化营商环境电视电话会议重点任务分工方案的通知》、《国务院办公厅关于印发全国深化“放管服”改革着力培育和激发市场主体活力电视电话会议重点任务分工方案的通知》、《河南省优化营商环境条例》、《平顶山市人民政府办公室关于在全市医疗器械经营行业推行综合许可改革的意见》等法律法规和文件精神，制定本实施办法 (以下简称办法)。</w:t>
      </w:r>
    </w:p>
    <w:p w14:paraId="5B6BF11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cs="方正仿宋_GB2312"/>
          <w:sz w:val="32"/>
          <w:szCs w:val="32"/>
        </w:rPr>
      </w:pPr>
      <w:r>
        <w:rPr>
          <w:rFonts w:hint="eastAsia" w:ascii="Times New Roman" w:hAnsi="Times New Roman" w:eastAsia="方正仿宋_GB2312" w:cs="方正仿宋_GB2312"/>
          <w:sz w:val="32"/>
          <w:szCs w:val="32"/>
        </w:rPr>
        <w:t>第二条 在平顶山市范围内从事医疗器械经营活动及其监督管理，应当遵守本办法。</w:t>
      </w:r>
    </w:p>
    <w:p w14:paraId="17FA3BA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cs="方正仿宋_GB2312"/>
          <w:sz w:val="32"/>
          <w:szCs w:val="32"/>
        </w:rPr>
      </w:pPr>
      <w:r>
        <w:rPr>
          <w:rFonts w:hint="eastAsia" w:ascii="Times New Roman" w:hAnsi="Times New Roman" w:eastAsia="方正仿宋_GB2312" w:cs="方正仿宋_GB2312"/>
          <w:sz w:val="32"/>
          <w:szCs w:val="32"/>
        </w:rPr>
        <w:t>第三条 从事医疗器械经营活动，应当遵守法律、法规、规章、强制性标准和医疗器械经营质量管理规范等要求，保证医疗器械经营过程信息真实、准确、完整和可追溯。</w:t>
      </w:r>
    </w:p>
    <w:p w14:paraId="12C29B5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cs="方正仿宋_GB2312"/>
          <w:sz w:val="32"/>
          <w:szCs w:val="32"/>
        </w:rPr>
      </w:pPr>
    </w:p>
    <w:p w14:paraId="122FBCE8">
      <w:pPr>
        <w:keepNext w:val="0"/>
        <w:keepLines w:val="0"/>
        <w:pageBreakBefore w:val="0"/>
        <w:widowControl w:val="0"/>
        <w:numPr>
          <w:ilvl w:val="0"/>
          <w:numId w:val="1"/>
        </w:numPr>
        <w:kinsoku/>
        <w:wordWrap/>
        <w:overflowPunct/>
        <w:topLinePunct w:val="0"/>
        <w:autoSpaceDE/>
        <w:autoSpaceDN/>
        <w:bidi w:val="0"/>
        <w:adjustRightInd/>
        <w:snapToGrid/>
        <w:spacing w:line="560" w:lineRule="exact"/>
        <w:jc w:val="center"/>
        <w:textAlignment w:val="auto"/>
        <w:rPr>
          <w:rFonts w:hint="eastAsia" w:ascii="Times New Roman" w:hAnsi="Times New Roman" w:eastAsia="黑体" w:cs="黑体"/>
          <w:sz w:val="30"/>
          <w:szCs w:val="30"/>
        </w:rPr>
      </w:pPr>
      <w:r>
        <w:rPr>
          <w:rFonts w:hint="eastAsia" w:ascii="Times New Roman" w:hAnsi="Times New Roman" w:eastAsia="黑体" w:cs="黑体"/>
          <w:sz w:val="30"/>
          <w:szCs w:val="30"/>
        </w:rPr>
        <w:t>综合许可</w:t>
      </w:r>
    </w:p>
    <w:p w14:paraId="14A8A9DF">
      <w:pPr>
        <w:keepNext w:val="0"/>
        <w:keepLines w:val="0"/>
        <w:pageBreakBefore w:val="0"/>
        <w:widowControl w:val="0"/>
        <w:numPr>
          <w:numId w:val="0"/>
        </w:numPr>
        <w:kinsoku/>
        <w:wordWrap/>
        <w:overflowPunct/>
        <w:topLinePunct w:val="0"/>
        <w:autoSpaceDE/>
        <w:autoSpaceDN/>
        <w:bidi w:val="0"/>
        <w:adjustRightInd/>
        <w:snapToGrid/>
        <w:spacing w:line="560" w:lineRule="exact"/>
        <w:textAlignment w:val="auto"/>
        <w:rPr>
          <w:rFonts w:hint="eastAsia" w:ascii="Times New Roman" w:hAnsi="Times New Roman" w:eastAsia="方正仿宋_GB2312" w:cs="方正仿宋_GB2312"/>
          <w:sz w:val="32"/>
          <w:szCs w:val="32"/>
        </w:rPr>
      </w:pPr>
    </w:p>
    <w:p w14:paraId="12D1287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cs="方正仿宋_GB2312"/>
          <w:sz w:val="32"/>
          <w:szCs w:val="32"/>
        </w:rPr>
      </w:pPr>
      <w:r>
        <w:rPr>
          <w:rFonts w:hint="eastAsia" w:ascii="Times New Roman" w:hAnsi="Times New Roman" w:eastAsia="方正仿宋_GB2312" w:cs="方正仿宋_GB2312"/>
          <w:sz w:val="32"/>
          <w:szCs w:val="32"/>
        </w:rPr>
        <w:t>第四条 本办法所称的综合许可是指申请第三类医疗器械经 营许可的同时，申请第二类医疗器械经营备案、第一类医疗器械 产品备案、第一类医疗器械生产备案、医疗器械网络销售备案中 的一种或多种项目的企业，将原来分别核发许可证、备案凭证的 审批方式，调整为将第三类医疗器械经营作为主营项目，其他项目作为兼营项目，只核发医疗器械经营综合许可证(以下简称综 合许可证)的审批模式。兼营项目在综合许可证的经营范围栏中注明。综合许可证核定的资质与各个项目独立核发的许可证、备案凭证核定的资质具有同等法律效力。</w:t>
      </w:r>
    </w:p>
    <w:p w14:paraId="472B6F8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cs="方正仿宋_GB2312"/>
          <w:sz w:val="32"/>
          <w:szCs w:val="32"/>
        </w:rPr>
      </w:pPr>
      <w:r>
        <w:rPr>
          <w:rFonts w:hint="eastAsia" w:ascii="Times New Roman" w:hAnsi="Times New Roman" w:eastAsia="方正仿宋_GB2312" w:cs="方正仿宋_GB2312"/>
          <w:sz w:val="32"/>
          <w:szCs w:val="32"/>
        </w:rPr>
        <w:t>第五条 市市场监督管理局(以下简称市局)是本市医疗器械经营的许可部门，负责全市行政区域范围内的医疗器械经营综合许可工作的组织、协调、实施和督导等。综合许可证的新办、 变更、延续、补发、注销等，由市局统一办理，包括受理、指派 现场检查、审核、发证等工作。</w:t>
      </w:r>
    </w:p>
    <w:p w14:paraId="4E65422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cs="方正仿宋_GB2312"/>
          <w:sz w:val="32"/>
          <w:szCs w:val="32"/>
        </w:rPr>
      </w:pPr>
      <w:r>
        <w:rPr>
          <w:rFonts w:hint="eastAsia" w:ascii="Times New Roman" w:hAnsi="Times New Roman" w:eastAsia="方正仿宋_GB2312" w:cs="方正仿宋_GB2312"/>
          <w:sz w:val="32"/>
          <w:szCs w:val="32"/>
        </w:rPr>
        <w:t>第六条 各县(市、区)市场监督管理局、高新技术产业开发区分局、城乡一体化示范区分局负责按照分级管理的要求，认真开展各自辖区内医疗器械经营企业的日常监督检查工作。</w:t>
      </w:r>
    </w:p>
    <w:p w14:paraId="35D763C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cs="方正仿宋_GB2312"/>
          <w:sz w:val="32"/>
          <w:szCs w:val="32"/>
        </w:rPr>
      </w:pPr>
      <w:r>
        <w:rPr>
          <w:rFonts w:hint="eastAsia" w:ascii="Times New Roman" w:hAnsi="Times New Roman" w:eastAsia="方正仿宋_GB2312" w:cs="方正仿宋_GB2312"/>
          <w:sz w:val="32"/>
          <w:szCs w:val="32"/>
        </w:rPr>
        <w:t>第七条 对于申请综合许可的企业，按照“一次申报、一窗 受理、统一出件”的审批方式，将包括医疗器械经营许可在内的 多个项目的申请材料整合为一套的申请材料，精简申请材</w:t>
      </w:r>
    </w:p>
    <w:p w14:paraId="588515D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cs="方正仿宋_GB2312"/>
          <w:sz w:val="32"/>
          <w:szCs w:val="32"/>
        </w:rPr>
      </w:pPr>
      <w:r>
        <w:rPr>
          <w:rFonts w:hint="eastAsia" w:ascii="Times New Roman" w:hAnsi="Times New Roman" w:eastAsia="方正仿宋_GB2312" w:cs="方正仿宋_GB2312"/>
          <w:sz w:val="32"/>
          <w:szCs w:val="32"/>
        </w:rPr>
        <w:t>第八条 综合许可证的经营范围根据企业的具体申请项目，按照“第三类经营”“第二类经营”“第一类产品备案”“第一类 生产备案”“网络销售备案”的格式填写并列明原分类目录明细、 新分类目录明细。各项目的具体内容通过二维码的形式，集成并加载在综合许可证上，实现医疗器械经营行业许可(备案)信息全覆盖。</w:t>
      </w:r>
    </w:p>
    <w:p w14:paraId="4B1DC56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cs="方正仿宋_GB2312"/>
          <w:sz w:val="32"/>
          <w:szCs w:val="32"/>
        </w:rPr>
      </w:pPr>
      <w:r>
        <w:rPr>
          <w:rFonts w:hint="eastAsia" w:ascii="Times New Roman" w:hAnsi="Times New Roman" w:eastAsia="方正仿宋_GB2312" w:cs="方正仿宋_GB2312"/>
          <w:sz w:val="32"/>
          <w:szCs w:val="32"/>
        </w:rPr>
        <w:t>第九条 全市统一综合许可证式样，版面内容包括许可证 编号、统一社会信用代码、企业名称、住所、经营场所、库房地 址、法定代表人、企业负责人、经营方式、经营范围、发证部门、 发证日期和等。综合许可证的有效期与第三类经营许可有效期一致，各兼营项目的有效期与其独立核发的备案凭证有效期一致。</w:t>
      </w:r>
    </w:p>
    <w:p w14:paraId="22CF7D7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2312" w:cs="方正仿宋_GB2312"/>
          <w:sz w:val="32"/>
          <w:szCs w:val="32"/>
        </w:rPr>
      </w:pPr>
    </w:p>
    <w:p w14:paraId="0BAF4DF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黑体" w:cs="黑体"/>
          <w:sz w:val="30"/>
          <w:szCs w:val="30"/>
        </w:rPr>
      </w:pPr>
      <w:r>
        <w:rPr>
          <w:rFonts w:hint="eastAsia" w:ascii="Times New Roman" w:hAnsi="Times New Roman" w:eastAsia="黑体" w:cs="黑体"/>
          <w:sz w:val="30"/>
          <w:szCs w:val="30"/>
        </w:rPr>
        <w:t>第三章 现场检查</w:t>
      </w:r>
    </w:p>
    <w:p w14:paraId="6161276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2312" w:cs="方正仿宋_GB2312"/>
          <w:sz w:val="32"/>
          <w:szCs w:val="32"/>
        </w:rPr>
      </w:pPr>
    </w:p>
    <w:p w14:paraId="5CF4AAD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cs="方正仿宋_GB2312"/>
          <w:sz w:val="32"/>
          <w:szCs w:val="32"/>
        </w:rPr>
      </w:pPr>
      <w:r>
        <w:rPr>
          <w:rFonts w:hint="eastAsia" w:ascii="Times New Roman" w:hAnsi="Times New Roman" w:eastAsia="方正仿宋_GB2312" w:cs="方正仿宋_GB2312"/>
          <w:sz w:val="32"/>
          <w:szCs w:val="32"/>
        </w:rPr>
        <w:t>第十条 合并检查程序，变多次现场检查为一次现场检查， 将涉及第三类医疗器械经营许可、第二类医疗器械经营备案后的现场检查合并为一次现场检查。由市局从市场监管系统中指派符合检查资格的人员组成现场检查组，并由现场检查组针对企业的申请项目依法出具现场检查报告。</w:t>
      </w:r>
    </w:p>
    <w:p w14:paraId="032F3E9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cs="方正仿宋_GB2312"/>
          <w:sz w:val="32"/>
          <w:szCs w:val="32"/>
        </w:rPr>
      </w:pPr>
      <w:r>
        <w:rPr>
          <w:rFonts w:hint="eastAsia" w:ascii="Times New Roman" w:hAnsi="Times New Roman" w:eastAsia="方正仿宋_GB2312" w:cs="方正仿宋_GB2312"/>
          <w:sz w:val="32"/>
          <w:szCs w:val="32"/>
        </w:rPr>
        <w:t>第十一条 检查组应当根据以下不同情况分别出具相应的现场检查报告：</w:t>
      </w:r>
    </w:p>
    <w:p w14:paraId="7CC22FB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cs="方正仿宋_GB2312"/>
          <w:sz w:val="32"/>
          <w:szCs w:val="32"/>
        </w:rPr>
      </w:pPr>
      <w:r>
        <w:rPr>
          <w:rFonts w:hint="eastAsia" w:ascii="Times New Roman" w:hAnsi="Times New Roman" w:eastAsia="方正仿宋_GB2312" w:cs="方正仿宋_GB2312"/>
          <w:sz w:val="32"/>
          <w:szCs w:val="32"/>
        </w:rPr>
        <w:t>涉及现场检查的申请项目全部通过的，应当出具结论为“通过检查”的现场检查报告。</w:t>
      </w:r>
    </w:p>
    <w:p w14:paraId="6DABFC2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cs="方正仿宋_GB2312"/>
          <w:sz w:val="32"/>
          <w:szCs w:val="32"/>
        </w:rPr>
      </w:pPr>
      <w:r>
        <w:rPr>
          <w:rFonts w:hint="eastAsia" w:ascii="Times New Roman" w:hAnsi="Times New Roman" w:eastAsia="方正仿宋_GB2312" w:cs="方正仿宋_GB2312"/>
          <w:sz w:val="32"/>
          <w:szCs w:val="32"/>
        </w:rPr>
        <w:t>现场检查主营项目通过，部分兼营项目未通过的，核减兼营项目，出具相应现场检查报告。</w:t>
      </w:r>
    </w:p>
    <w:p w14:paraId="357B7C2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cs="方正仿宋_GB2312"/>
          <w:sz w:val="32"/>
          <w:szCs w:val="32"/>
        </w:rPr>
      </w:pPr>
      <w:r>
        <w:rPr>
          <w:rFonts w:hint="eastAsia" w:ascii="Times New Roman" w:hAnsi="Times New Roman" w:eastAsia="方正仿宋_GB2312" w:cs="方正仿宋_GB2312"/>
          <w:sz w:val="32"/>
          <w:szCs w:val="32"/>
        </w:rPr>
        <w:t>现场检查的项目涉及限期整改的，检查组应当将整改意见一次性告知企业，企业未能按时提交整改报告或者经复查仍存在不符合要求项目的，该项目的检查结论应当为“未通过检查”。主营项目未通过检查但存在兼营项目通过检查的，不核发综合许可证，通过检查的兼营项目可以保留对应的单独凭证。</w:t>
      </w:r>
    </w:p>
    <w:p w14:paraId="1F5F7B1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2312" w:cs="方正仿宋_GB2312"/>
          <w:sz w:val="32"/>
          <w:szCs w:val="32"/>
        </w:rPr>
      </w:pPr>
    </w:p>
    <w:p w14:paraId="7367CAC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黑体" w:cs="黑体"/>
          <w:sz w:val="30"/>
          <w:szCs w:val="30"/>
        </w:rPr>
      </w:pPr>
      <w:r>
        <w:rPr>
          <w:rFonts w:hint="eastAsia" w:ascii="Times New Roman" w:hAnsi="Times New Roman" w:eastAsia="黑体" w:cs="黑体"/>
          <w:sz w:val="30"/>
          <w:szCs w:val="30"/>
        </w:rPr>
        <w:t>第四章 申请事项</w:t>
      </w:r>
    </w:p>
    <w:p w14:paraId="7F2B70F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2312" w:cs="方正仿宋_GB2312"/>
          <w:sz w:val="32"/>
          <w:szCs w:val="32"/>
        </w:rPr>
      </w:pPr>
    </w:p>
    <w:p w14:paraId="643C767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cs="方正仿宋_GB2312"/>
          <w:sz w:val="32"/>
          <w:szCs w:val="32"/>
        </w:rPr>
      </w:pPr>
      <w:r>
        <w:rPr>
          <w:rFonts w:hint="eastAsia" w:ascii="Times New Roman" w:hAnsi="Times New Roman" w:eastAsia="方正仿宋_GB2312" w:cs="方正仿宋_GB2312"/>
          <w:sz w:val="32"/>
          <w:szCs w:val="32"/>
        </w:rPr>
        <w:t>第十二条 综合许可证新办。初次申请综合许可证的企业，应该先取得经营范围包含“第三类医疗器械经营”的营业执照。若企业之前已经取得医疗器械经营许可证且申请综合许可证的兼营项目仅含第二类医疗器械经营，免于提交证明符合相关条件的材料，可直接以原医疗器械经营许可证换发综合许可证，并在经营范围栏目增加“第二类医疗器械经营”。</w:t>
      </w:r>
    </w:p>
    <w:p w14:paraId="1691734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cs="方正仿宋_GB2312"/>
          <w:sz w:val="32"/>
          <w:szCs w:val="32"/>
        </w:rPr>
      </w:pPr>
      <w:r>
        <w:rPr>
          <w:rFonts w:hint="eastAsia" w:ascii="Times New Roman" w:hAnsi="Times New Roman" w:eastAsia="方正仿宋_GB2312" w:cs="方正仿宋_GB2312"/>
          <w:sz w:val="32"/>
          <w:szCs w:val="32"/>
        </w:rPr>
        <w:t>第十三条 综合许可证变更，适用于已经取得综合许可证的  企业，包含综合许可证中的许可或备案事项的变更以及综合许可  证增减兼营项目的情形。申请人应当向原发证部门提出变更申请。</w:t>
      </w:r>
    </w:p>
    <w:p w14:paraId="335DAC9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cs="方正仿宋_GB2312"/>
          <w:sz w:val="32"/>
          <w:szCs w:val="32"/>
        </w:rPr>
      </w:pPr>
      <w:r>
        <w:rPr>
          <w:rFonts w:hint="eastAsia" w:ascii="Times New Roman" w:hAnsi="Times New Roman" w:eastAsia="方正仿宋_GB2312" w:cs="方正仿宋_GB2312"/>
          <w:sz w:val="32"/>
          <w:szCs w:val="32"/>
        </w:rPr>
        <w:t>第十四条 综合许可证延续，适用于已经取得综合许可证的企业。申请人应当在综合许可证有效期届满前90个工作日至30个工作日期间向原发证机关提出延续申请。逾期未提出延续申请的，不再受理其延续申请。</w:t>
      </w:r>
    </w:p>
    <w:p w14:paraId="5412553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cs="方正仿宋_GB2312"/>
          <w:sz w:val="32"/>
          <w:szCs w:val="32"/>
        </w:rPr>
      </w:pPr>
      <w:r>
        <w:rPr>
          <w:rFonts w:hint="eastAsia" w:ascii="Times New Roman" w:hAnsi="Times New Roman" w:eastAsia="方正仿宋_GB2312" w:cs="方正仿宋_GB2312"/>
          <w:sz w:val="32"/>
          <w:szCs w:val="32"/>
        </w:rPr>
        <w:t>延续许可的批准时间在原许可证有效期内的，延续起始日为 原许可证到期日的次日；批准时间不在原许可证有效期内的，延 续起始日为批准延续许可的日期。</w:t>
      </w:r>
    </w:p>
    <w:p w14:paraId="56B5E7A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cs="方正仿宋_GB2312"/>
          <w:sz w:val="32"/>
          <w:szCs w:val="32"/>
        </w:rPr>
      </w:pPr>
      <w:r>
        <w:rPr>
          <w:rFonts w:hint="eastAsia" w:ascii="Times New Roman" w:hAnsi="Times New Roman" w:eastAsia="方正仿宋_GB2312" w:cs="方正仿宋_GB2312"/>
          <w:sz w:val="32"/>
          <w:szCs w:val="32"/>
        </w:rPr>
        <w:t>第十五条 综合许可证补发，综合许可证遗失的，应当向原发证部门申请补发。原发证部门应当及时补发综合许可证，补发的许可证证面信息与原许可证一致。</w:t>
      </w:r>
    </w:p>
    <w:p w14:paraId="0F0B1BB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cs="方正仿宋_GB2312"/>
          <w:sz w:val="32"/>
          <w:szCs w:val="32"/>
        </w:rPr>
      </w:pPr>
      <w:r>
        <w:rPr>
          <w:rFonts w:hint="eastAsia" w:ascii="Times New Roman" w:hAnsi="Times New Roman" w:eastAsia="方正仿宋_GB2312" w:cs="方正仿宋_GB2312"/>
          <w:sz w:val="32"/>
          <w:szCs w:val="32"/>
        </w:rPr>
        <w:t>第十六条 综合许可证注销</w:t>
      </w:r>
    </w:p>
    <w:p w14:paraId="6D0F20A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2312" w:cs="方正仿宋_GB2312"/>
          <w:sz w:val="32"/>
          <w:szCs w:val="32"/>
        </w:rPr>
      </w:pPr>
      <w:r>
        <w:rPr>
          <w:rFonts w:hint="eastAsia" w:ascii="Times New Roman" w:hAnsi="Times New Roman" w:eastAsia="方正仿宋_GB2312" w:cs="方正仿宋_GB2312"/>
          <w:sz w:val="32"/>
          <w:szCs w:val="32"/>
        </w:rPr>
        <w:t>有下列情形之一的，由原发证部门依法注销综合许可证，并予以公告：</w:t>
      </w:r>
    </w:p>
    <w:p w14:paraId="68ABF52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cs="方正仿宋_GB2312"/>
          <w:sz w:val="32"/>
          <w:szCs w:val="32"/>
        </w:rPr>
      </w:pPr>
      <w:r>
        <w:rPr>
          <w:rFonts w:hint="eastAsia" w:ascii="Times New Roman" w:hAnsi="Times New Roman" w:eastAsia="方正仿宋_GB2312" w:cs="方正仿宋_GB2312"/>
          <w:sz w:val="32"/>
          <w:szCs w:val="32"/>
        </w:rPr>
        <w:t>(一)主动申请注销的；</w:t>
      </w:r>
    </w:p>
    <w:p w14:paraId="5A326F4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cs="方正仿宋_GB2312"/>
          <w:sz w:val="32"/>
          <w:szCs w:val="32"/>
        </w:rPr>
      </w:pPr>
      <w:r>
        <w:rPr>
          <w:rFonts w:hint="eastAsia" w:ascii="Times New Roman" w:hAnsi="Times New Roman" w:eastAsia="方正仿宋_GB2312" w:cs="方正仿宋_GB2312"/>
          <w:sz w:val="32"/>
          <w:szCs w:val="32"/>
        </w:rPr>
        <w:t>(二)有效期届满未延续的；</w:t>
      </w:r>
    </w:p>
    <w:p w14:paraId="4A8DB0B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cs="方正仿宋_GB2312"/>
          <w:sz w:val="32"/>
          <w:szCs w:val="32"/>
        </w:rPr>
      </w:pPr>
      <w:r>
        <w:rPr>
          <w:rFonts w:hint="eastAsia" w:ascii="Times New Roman" w:hAnsi="Times New Roman" w:eastAsia="方正仿宋_GB2312" w:cs="方正仿宋_GB2312"/>
          <w:sz w:val="32"/>
          <w:szCs w:val="32"/>
        </w:rPr>
        <w:t>(三)市场主体资格依法终止的；</w:t>
      </w:r>
    </w:p>
    <w:p w14:paraId="2D89E7A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cs="方正仿宋_GB2312"/>
          <w:sz w:val="32"/>
          <w:szCs w:val="32"/>
        </w:rPr>
      </w:pPr>
      <w:r>
        <w:rPr>
          <w:rFonts w:hint="eastAsia" w:ascii="Times New Roman" w:hAnsi="Times New Roman" w:eastAsia="方正仿宋_GB2312" w:cs="方正仿宋_GB2312"/>
          <w:sz w:val="32"/>
          <w:szCs w:val="32"/>
        </w:rPr>
        <w:t>(四)综合许可证依法被吊销或者撤销的；</w:t>
      </w:r>
    </w:p>
    <w:p w14:paraId="7FCB196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cs="方正仿宋_GB2312"/>
          <w:sz w:val="32"/>
          <w:szCs w:val="32"/>
        </w:rPr>
      </w:pPr>
      <w:r>
        <w:rPr>
          <w:rFonts w:hint="eastAsia" w:ascii="Times New Roman" w:hAnsi="Times New Roman" w:eastAsia="方正仿宋_GB2312" w:cs="方正仿宋_GB2312"/>
          <w:sz w:val="32"/>
          <w:szCs w:val="32"/>
        </w:rPr>
        <w:t>(五)法律、法规规定应当注销行政许可的其他情形。</w:t>
      </w:r>
    </w:p>
    <w:p w14:paraId="3BE28A0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cs="方正仿宋_GB2312"/>
          <w:sz w:val="32"/>
          <w:szCs w:val="32"/>
        </w:rPr>
      </w:pPr>
      <w:r>
        <w:rPr>
          <w:rFonts w:hint="eastAsia" w:ascii="Times New Roman" w:hAnsi="Times New Roman" w:eastAsia="方正仿宋_GB2312" w:cs="方正仿宋_GB2312"/>
          <w:sz w:val="32"/>
          <w:szCs w:val="32"/>
        </w:rPr>
        <w:t>第十七条 医疗器械经营企业发生法律法规规定的应当取消 兼营项目备案的情形，发证机关应当在综合许可证经营范围中核 减相应事项。</w:t>
      </w:r>
    </w:p>
    <w:p w14:paraId="34F7A8E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2312" w:cs="方正仿宋_GB2312"/>
          <w:sz w:val="32"/>
          <w:szCs w:val="32"/>
        </w:rPr>
      </w:pPr>
    </w:p>
    <w:p w14:paraId="4EEB892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仿宋_GB2312" w:cs="方正仿宋_GB2312"/>
          <w:sz w:val="32"/>
          <w:szCs w:val="32"/>
        </w:rPr>
      </w:pPr>
      <w:r>
        <w:rPr>
          <w:rFonts w:hint="eastAsia" w:ascii="Times New Roman" w:hAnsi="Times New Roman" w:eastAsia="黑体" w:cs="黑体"/>
          <w:sz w:val="30"/>
          <w:szCs w:val="30"/>
        </w:rPr>
        <w:t>第五章 日常监管</w:t>
      </w:r>
    </w:p>
    <w:p w14:paraId="4F01A51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2312" w:cs="方正仿宋_GB2312"/>
          <w:sz w:val="32"/>
          <w:szCs w:val="32"/>
        </w:rPr>
      </w:pPr>
    </w:p>
    <w:p w14:paraId="2A8EF0D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cs="方正仿宋_GB2312"/>
          <w:sz w:val="32"/>
          <w:szCs w:val="32"/>
        </w:rPr>
      </w:pPr>
      <w:r>
        <w:rPr>
          <w:rFonts w:hint="eastAsia" w:ascii="Times New Roman" w:hAnsi="Times New Roman" w:eastAsia="方正仿宋_GB2312" w:cs="方正仿宋_GB2312"/>
          <w:sz w:val="32"/>
          <w:szCs w:val="32"/>
        </w:rPr>
        <w:t>第十八条 市局应当制定年度检查计划，明确监管重点、 检查频次和覆盖范围并组织实施；建立并及时更新辖区内医疗器械经营企业信用档案。</w:t>
      </w:r>
    </w:p>
    <w:p w14:paraId="41ECBBB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cs="方正仿宋_GB2312"/>
          <w:sz w:val="32"/>
          <w:szCs w:val="32"/>
        </w:rPr>
      </w:pPr>
      <w:r>
        <w:rPr>
          <w:rFonts w:hint="eastAsia" w:ascii="Times New Roman" w:hAnsi="Times New Roman" w:eastAsia="方正仿宋_GB2312" w:cs="方正仿宋_GB2312"/>
          <w:sz w:val="32"/>
          <w:szCs w:val="32"/>
        </w:rPr>
        <w:t>第十九条 各县(市、区)市场监督管理局、高新技术产业 开发区分局、城乡一体化示范区分局按照分级管理的要求认真开 展日常监督检查。医疗器械经营监督检查原则上应当采取突击性监督检查的方式，根据医疗器械质量安全风险防控需要，可以对 为医疗器械经营活动提供产品或者服务的相关单位和个人进行 延伸检查；应当根据监督检查、产品抽检、不良事件监测、投诉举报、行政处罚等情况，定期开展风险会商研判，做好医疗器械质量安全隐患排查和防控处置工作。</w:t>
      </w:r>
    </w:p>
    <w:p w14:paraId="00CDF08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2312" w:cs="方正仿宋_GB2312"/>
          <w:sz w:val="32"/>
          <w:szCs w:val="32"/>
        </w:rPr>
      </w:pPr>
    </w:p>
    <w:p w14:paraId="1BFC225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黑体" w:cs="黑体"/>
          <w:sz w:val="30"/>
          <w:szCs w:val="30"/>
        </w:rPr>
      </w:pPr>
      <w:r>
        <w:rPr>
          <w:rFonts w:hint="eastAsia" w:ascii="Times New Roman" w:hAnsi="Times New Roman" w:eastAsia="黑体" w:cs="黑体"/>
          <w:sz w:val="30"/>
          <w:szCs w:val="30"/>
        </w:rPr>
        <w:t>第 六 章  附 则</w:t>
      </w:r>
    </w:p>
    <w:p w14:paraId="09090A6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2312" w:cs="方正仿宋_GB2312"/>
          <w:sz w:val="32"/>
          <w:szCs w:val="32"/>
        </w:rPr>
      </w:pPr>
    </w:p>
    <w:p w14:paraId="3344980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cs="方正仿宋_GB2312"/>
          <w:sz w:val="32"/>
          <w:szCs w:val="32"/>
        </w:rPr>
      </w:pPr>
      <w:r>
        <w:rPr>
          <w:rFonts w:hint="eastAsia" w:ascii="Times New Roman" w:hAnsi="Times New Roman" w:eastAsia="方正仿宋_GB2312" w:cs="方正仿宋_GB2312"/>
          <w:sz w:val="32"/>
          <w:szCs w:val="32"/>
        </w:rPr>
        <w:t>第二十条本办法由平顶山市市场监督管理局负责解释。 本办法未尽事宜，根据相关法律法规和规范性文件执行。</w:t>
      </w:r>
    </w:p>
    <w:p w14:paraId="6C91E3F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cs="方正仿宋_GB2312"/>
          <w:sz w:val="32"/>
          <w:szCs w:val="32"/>
        </w:rPr>
      </w:pPr>
      <w:r>
        <w:rPr>
          <w:rFonts w:hint="eastAsia" w:ascii="Times New Roman" w:hAnsi="Times New Roman" w:eastAsia="方正仿宋_GB2312" w:cs="方正仿宋_GB2312"/>
          <w:sz w:val="32"/>
          <w:szCs w:val="32"/>
        </w:rPr>
        <w:t>第二十一条本办法自   年   月   日起施行。</w:t>
      </w: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9B2D7E9-FDCC-43DA-8136-1C84CD76549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Segoe UI">
    <w:panose1 w:val="020B0502040204020203"/>
    <w:charset w:val="00"/>
    <w:family w:val="auto"/>
    <w:pitch w:val="default"/>
    <w:sig w:usb0="E4002EFF" w:usb1="C000E47F" w:usb2="00000009" w:usb3="00000000" w:csb0="200001FF" w:csb1="00000000"/>
  </w:font>
  <w:font w:name="KSOF1D5EAB94">
    <w:panose1 w:val="020B0802040204020203"/>
    <w:charset w:val="00"/>
    <w:family w:val="auto"/>
    <w:pitch w:val="default"/>
    <w:sig w:usb0="00000001" w:usb1="00000000" w:usb2="00000000" w:usb3="00000000" w:csb0="00000001" w:csb1="00000000"/>
  </w:font>
  <w:font w:name="KSOF29153A75">
    <w:panose1 w:val="020B0502040204020203"/>
    <w:charset w:val="00"/>
    <w:family w:val="auto"/>
    <w:pitch w:val="default"/>
    <w:sig w:usb0="00000001" w:usb1="00000000" w:usb2="00000000" w:usb3="00000000" w:csb0="00000001" w:csb1="00000000"/>
  </w:font>
  <w:font w:name="方正小标宋简体">
    <w:panose1 w:val="02000000000000000000"/>
    <w:charset w:val="86"/>
    <w:family w:val="auto"/>
    <w:pitch w:val="default"/>
    <w:sig w:usb0="00000001" w:usb1="08000000" w:usb2="00000000" w:usb3="00000000" w:csb0="00040000" w:csb1="00000000"/>
    <w:embedRegular r:id="rId2" w:fontKey="{FD6E9394-E871-4D91-A37B-53B8244C23B6}"/>
  </w:font>
  <w:font w:name="方正仿宋_GB2312">
    <w:panose1 w:val="02000000000000000000"/>
    <w:charset w:val="86"/>
    <w:family w:val="auto"/>
    <w:pitch w:val="default"/>
    <w:sig w:usb0="A00002BF" w:usb1="184F6CFA" w:usb2="00000012" w:usb3="00000000" w:csb0="00040001" w:csb1="00000000"/>
    <w:embedRegular r:id="rId3" w:fontKey="{9877EF70-E169-4587-88EC-C7FCD5FFB0DB}"/>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147452B"/>
    <w:multiLevelType w:val="singleLevel"/>
    <w:tmpl w:val="F147452B"/>
    <w:lvl w:ilvl="0" w:tentative="0">
      <w:start w:val="2"/>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2028DC"/>
    <w:rsid w:val="4FAC5BC3"/>
    <w:rsid w:val="6E2028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3</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2026-07-21T05:45:00Z</dcterms:created>
  <dc:creator>果子</dc:creator>
  <cp:lastModifiedBy>果子</cp:lastModifiedBy>
  <dcterms:modified xsi:type="dcterms:W3CDTF">2026-07-21T05:49:39Z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E3CCEE5165D74F1B9E4E49069A625AB8_11</vt:lpwstr>
  </property>
  <property fmtid="{D5CDD505-2E9C-101B-9397-08002B2CF9AE}" pid="4" name="KSOTemplateDocerSaveRecord">
    <vt:lpwstr>eyJoZGlkIjoiOTQwNjUyMjJjMzEwYjZiMDM4ZWJlOGQwYjk0N2I0MWMiLCJ1c2VySWQiOiIzOTcxOTcxNDMifQ==</vt:lpwstr>
  </property>
</Properties>
</file>